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4F74" w14:textId="77777777" w:rsidR="00DB65F9" w:rsidRPr="00FB363E" w:rsidRDefault="00DB65F9">
      <w:pPr>
        <w:pStyle w:val="BodyText"/>
        <w:spacing w:before="1"/>
        <w:rPr>
          <w:rFonts w:asciiTheme="minorHAnsi" w:hAnsiTheme="minorHAnsi" w:cstheme="minorHAnsi"/>
          <w:sz w:val="18"/>
          <w:szCs w:val="18"/>
        </w:rPr>
      </w:pPr>
    </w:p>
    <w:tbl>
      <w:tblPr>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42"/>
        <w:gridCol w:w="1770"/>
        <w:gridCol w:w="1773"/>
        <w:gridCol w:w="594"/>
        <w:gridCol w:w="2949"/>
      </w:tblGrid>
      <w:tr w:rsidR="00DB65F9" w:rsidRPr="00DD2E90" w14:paraId="6A1C2414" w14:textId="77777777" w:rsidTr="00793C1C">
        <w:trPr>
          <w:trHeight w:val="622"/>
        </w:trPr>
        <w:tc>
          <w:tcPr>
            <w:tcW w:w="10628" w:type="dxa"/>
            <w:gridSpan w:val="5"/>
            <w:tcBorders>
              <w:top w:val="single" w:sz="4" w:space="0" w:color="auto"/>
              <w:left w:val="single" w:sz="4" w:space="0" w:color="auto"/>
              <w:bottom w:val="single" w:sz="4" w:space="0" w:color="auto"/>
              <w:right w:val="single" w:sz="4" w:space="0" w:color="auto"/>
            </w:tcBorders>
            <w:shd w:val="clear" w:color="auto" w:fill="231F20"/>
          </w:tcPr>
          <w:p w14:paraId="0906EF6F" w14:textId="50B00910" w:rsidR="00DB65F9" w:rsidRPr="00DD2E90" w:rsidRDefault="00360A0E" w:rsidP="006C6CBA">
            <w:pPr>
              <w:pStyle w:val="TableParagraph"/>
              <w:spacing w:before="152"/>
              <w:ind w:left="174"/>
              <w:rPr>
                <w:rFonts w:asciiTheme="minorHAnsi" w:hAnsiTheme="minorHAnsi" w:cstheme="minorHAnsi"/>
                <w:b/>
                <w:bCs/>
              </w:rPr>
            </w:pPr>
            <w:r>
              <w:rPr>
                <w:rFonts w:asciiTheme="minorHAnsi" w:hAnsiTheme="minorHAnsi" w:cstheme="minorHAnsi"/>
                <w:b/>
                <w:bCs/>
                <w:color w:val="FFFFFF"/>
              </w:rPr>
              <w:t>CRY</w:t>
            </w:r>
            <w:r w:rsidR="00DA4EA7">
              <w:rPr>
                <w:rFonts w:asciiTheme="minorHAnsi" w:hAnsiTheme="minorHAnsi" w:cstheme="minorHAnsi"/>
                <w:b/>
                <w:bCs/>
                <w:color w:val="FFFFFF"/>
              </w:rPr>
              <w:t>PTO</w:t>
            </w:r>
            <w:r w:rsidR="002D446A">
              <w:rPr>
                <w:rFonts w:asciiTheme="minorHAnsi" w:hAnsiTheme="minorHAnsi" w:cstheme="minorHAnsi"/>
                <w:b/>
                <w:bCs/>
                <w:color w:val="FFFFFF"/>
              </w:rPr>
              <w:t xml:space="preserve">CURRENCY &amp; </w:t>
            </w:r>
            <w:r w:rsidR="00DD2E90" w:rsidRPr="00647C1C">
              <w:rPr>
                <w:rFonts w:asciiTheme="minorHAnsi" w:hAnsiTheme="minorHAnsi" w:cstheme="minorHAnsi"/>
                <w:b/>
                <w:bCs/>
                <w:color w:val="FFFFFF"/>
              </w:rPr>
              <w:t xml:space="preserve">DIGITAL ASSET RISK ACKNOWLEDGEMENT FORM </w:t>
            </w:r>
          </w:p>
        </w:tc>
      </w:tr>
      <w:tr w:rsidR="004B7E4A" w:rsidRPr="00CC0157" w14:paraId="671B4C9F" w14:textId="77777777" w:rsidTr="009B281D">
        <w:trPr>
          <w:trHeight w:val="720"/>
        </w:trPr>
        <w:tc>
          <w:tcPr>
            <w:tcW w:w="5312" w:type="dxa"/>
            <w:gridSpan w:val="2"/>
            <w:tcBorders>
              <w:top w:val="single" w:sz="6" w:space="0" w:color="000000"/>
              <w:bottom w:val="single" w:sz="6" w:space="0" w:color="000000"/>
            </w:tcBorders>
          </w:tcPr>
          <w:p w14:paraId="1751CFDC" w14:textId="77777777" w:rsidR="004B7E4A" w:rsidRPr="00CC0157" w:rsidRDefault="004B7E4A" w:rsidP="00BB31BD">
            <w:pPr>
              <w:pStyle w:val="TableParagraph"/>
              <w:spacing w:before="0"/>
              <w:rPr>
                <w:rFonts w:asciiTheme="minorHAnsi" w:hAnsiTheme="minorHAnsi" w:cstheme="minorHAnsi"/>
                <w:sz w:val="16"/>
                <w:szCs w:val="16"/>
              </w:rPr>
            </w:pPr>
            <w:r w:rsidRPr="00CC0157">
              <w:rPr>
                <w:rFonts w:asciiTheme="minorHAnsi" w:hAnsiTheme="minorHAnsi" w:cstheme="minorHAnsi"/>
                <w:sz w:val="16"/>
                <w:szCs w:val="16"/>
              </w:rPr>
              <w:t>Client Name:</w:t>
            </w:r>
          </w:p>
        </w:tc>
        <w:tc>
          <w:tcPr>
            <w:tcW w:w="5316" w:type="dxa"/>
            <w:gridSpan w:val="3"/>
            <w:tcBorders>
              <w:top w:val="single" w:sz="6" w:space="0" w:color="000000"/>
              <w:bottom w:val="single" w:sz="6" w:space="0" w:color="000000"/>
            </w:tcBorders>
          </w:tcPr>
          <w:p w14:paraId="389FD781" w14:textId="77777777" w:rsidR="004B7E4A" w:rsidRPr="00CC0157" w:rsidRDefault="004B7E4A" w:rsidP="00BB31BD">
            <w:pPr>
              <w:pStyle w:val="TableParagraph"/>
              <w:spacing w:before="0"/>
              <w:rPr>
                <w:rFonts w:asciiTheme="minorHAnsi" w:hAnsiTheme="minorHAnsi" w:cstheme="minorHAnsi"/>
                <w:sz w:val="16"/>
                <w:szCs w:val="16"/>
              </w:rPr>
            </w:pPr>
            <w:r w:rsidRPr="00CC0157">
              <w:rPr>
                <w:rFonts w:asciiTheme="minorHAnsi" w:hAnsiTheme="minorHAnsi" w:cstheme="minorHAnsi"/>
                <w:w w:val="95"/>
                <w:sz w:val="16"/>
                <w:szCs w:val="16"/>
              </w:rPr>
              <w:t>Second Client Name:</w:t>
            </w:r>
          </w:p>
        </w:tc>
      </w:tr>
      <w:tr w:rsidR="00742BFE" w:rsidRPr="00CC0157" w14:paraId="2E1F4A89" w14:textId="77777777" w:rsidTr="009B281D">
        <w:trPr>
          <w:trHeight w:val="720"/>
        </w:trPr>
        <w:tc>
          <w:tcPr>
            <w:tcW w:w="7679" w:type="dxa"/>
            <w:gridSpan w:val="4"/>
          </w:tcPr>
          <w:p w14:paraId="55C972D4" w14:textId="0EB6D4AC" w:rsidR="00742BFE" w:rsidRPr="00CC0157" w:rsidRDefault="00456B15" w:rsidP="00793C1C">
            <w:pPr>
              <w:pStyle w:val="TableParagraph"/>
              <w:spacing w:before="0"/>
              <w:ind w:left="183"/>
              <w:rPr>
                <w:rFonts w:asciiTheme="minorHAnsi" w:hAnsiTheme="minorHAnsi" w:cstheme="minorHAnsi"/>
                <w:sz w:val="16"/>
                <w:szCs w:val="16"/>
              </w:rPr>
            </w:pPr>
            <w:r w:rsidRPr="00CC0157">
              <w:rPr>
                <w:rFonts w:asciiTheme="minorHAnsi" w:hAnsiTheme="minorHAnsi" w:cstheme="minorHAnsi"/>
                <w:w w:val="95"/>
                <w:sz w:val="16"/>
                <w:szCs w:val="16"/>
              </w:rPr>
              <w:t>Account Title:</w:t>
            </w:r>
          </w:p>
        </w:tc>
        <w:tc>
          <w:tcPr>
            <w:tcW w:w="2949" w:type="dxa"/>
          </w:tcPr>
          <w:p w14:paraId="3E8FCFAF" w14:textId="3719A736" w:rsidR="00742BFE" w:rsidRPr="00CC0157" w:rsidRDefault="00456B15" w:rsidP="00793C1C">
            <w:pPr>
              <w:pStyle w:val="TableParagraph"/>
              <w:spacing w:before="0"/>
              <w:ind w:left="181"/>
              <w:rPr>
                <w:rFonts w:asciiTheme="minorHAnsi" w:hAnsiTheme="minorHAnsi" w:cstheme="minorHAnsi"/>
                <w:sz w:val="16"/>
                <w:szCs w:val="16"/>
              </w:rPr>
            </w:pPr>
            <w:r w:rsidRPr="00CC0157">
              <w:rPr>
                <w:rFonts w:asciiTheme="minorHAnsi" w:hAnsiTheme="minorHAnsi" w:cstheme="minorHAnsi"/>
                <w:w w:val="95"/>
                <w:sz w:val="16"/>
                <w:szCs w:val="16"/>
              </w:rPr>
              <w:t>Account #:</w:t>
            </w:r>
          </w:p>
        </w:tc>
      </w:tr>
      <w:tr w:rsidR="00F657A6" w:rsidRPr="00CC0157" w14:paraId="366C581C" w14:textId="77777777" w:rsidTr="009B281D">
        <w:trPr>
          <w:trHeight w:val="720"/>
        </w:trPr>
        <w:tc>
          <w:tcPr>
            <w:tcW w:w="3542" w:type="dxa"/>
            <w:tcBorders>
              <w:bottom w:val="single" w:sz="6" w:space="0" w:color="000000"/>
            </w:tcBorders>
          </w:tcPr>
          <w:p w14:paraId="38603CDF" w14:textId="77777777" w:rsidR="00F657A6" w:rsidRPr="00CC0157" w:rsidRDefault="00F657A6" w:rsidP="00793C1C">
            <w:pPr>
              <w:pStyle w:val="TableParagraph"/>
              <w:spacing w:before="0"/>
              <w:rPr>
                <w:rFonts w:asciiTheme="minorHAnsi" w:hAnsiTheme="minorHAnsi" w:cstheme="minorHAnsi"/>
                <w:w w:val="95"/>
                <w:sz w:val="16"/>
                <w:szCs w:val="16"/>
              </w:rPr>
            </w:pPr>
            <w:r>
              <w:rPr>
                <w:rFonts w:asciiTheme="minorHAnsi" w:hAnsiTheme="minorHAnsi" w:cstheme="minorHAnsi"/>
                <w:w w:val="95"/>
                <w:sz w:val="16"/>
                <w:szCs w:val="16"/>
              </w:rPr>
              <w:t>Risk Objective:</w:t>
            </w:r>
          </w:p>
        </w:tc>
        <w:tc>
          <w:tcPr>
            <w:tcW w:w="3543" w:type="dxa"/>
            <w:gridSpan w:val="2"/>
            <w:tcBorders>
              <w:bottom w:val="single" w:sz="6" w:space="0" w:color="000000"/>
            </w:tcBorders>
          </w:tcPr>
          <w:p w14:paraId="5F0C1BB7" w14:textId="05C8DF4E" w:rsidR="00F657A6" w:rsidRPr="00CC0157" w:rsidRDefault="008469CF" w:rsidP="00793C1C">
            <w:pPr>
              <w:pStyle w:val="TableParagraph"/>
              <w:spacing w:before="0"/>
              <w:rPr>
                <w:rFonts w:asciiTheme="minorHAnsi" w:hAnsiTheme="minorHAnsi" w:cstheme="minorHAnsi"/>
                <w:w w:val="95"/>
                <w:sz w:val="16"/>
                <w:szCs w:val="16"/>
              </w:rPr>
            </w:pPr>
            <w:r>
              <w:rPr>
                <w:rFonts w:asciiTheme="minorHAnsi" w:hAnsiTheme="minorHAnsi" w:cstheme="minorHAnsi"/>
                <w:w w:val="95"/>
                <w:sz w:val="16"/>
                <w:szCs w:val="16"/>
              </w:rPr>
              <w:t xml:space="preserve">% </w:t>
            </w:r>
            <w:r w:rsidR="00456B15">
              <w:rPr>
                <w:rFonts w:asciiTheme="minorHAnsi" w:hAnsiTheme="minorHAnsi" w:cstheme="minorHAnsi"/>
                <w:w w:val="95"/>
                <w:sz w:val="16"/>
                <w:szCs w:val="16"/>
              </w:rPr>
              <w:t>Concentration of Position:</w:t>
            </w:r>
          </w:p>
        </w:tc>
        <w:tc>
          <w:tcPr>
            <w:tcW w:w="3543" w:type="dxa"/>
            <w:gridSpan w:val="2"/>
            <w:tcBorders>
              <w:bottom w:val="single" w:sz="6" w:space="0" w:color="000000"/>
            </w:tcBorders>
          </w:tcPr>
          <w:p w14:paraId="6E1F00BE" w14:textId="130261CA" w:rsidR="00F657A6" w:rsidRPr="00CC0157" w:rsidRDefault="00456B15" w:rsidP="00793C1C">
            <w:pPr>
              <w:pStyle w:val="TableParagraph"/>
              <w:spacing w:before="0"/>
              <w:rPr>
                <w:rFonts w:asciiTheme="minorHAnsi" w:hAnsiTheme="minorHAnsi" w:cstheme="minorHAnsi"/>
                <w:w w:val="95"/>
                <w:sz w:val="16"/>
                <w:szCs w:val="16"/>
              </w:rPr>
            </w:pPr>
            <w:r w:rsidRPr="00CC0157">
              <w:rPr>
                <w:rFonts w:asciiTheme="minorHAnsi" w:hAnsiTheme="minorHAnsi" w:cstheme="minorHAnsi"/>
                <w:sz w:val="16"/>
                <w:szCs w:val="16"/>
              </w:rPr>
              <w:t>Date:</w:t>
            </w:r>
          </w:p>
        </w:tc>
      </w:tr>
    </w:tbl>
    <w:p w14:paraId="59406E25" w14:textId="77777777" w:rsidR="00DB65F9" w:rsidRPr="00FB363E" w:rsidRDefault="00DB65F9">
      <w:pPr>
        <w:pStyle w:val="BodyText"/>
        <w:rPr>
          <w:rFonts w:asciiTheme="minorHAnsi" w:hAnsiTheme="minorHAnsi" w:cstheme="minorHAnsi"/>
          <w:sz w:val="18"/>
          <w:szCs w:val="18"/>
        </w:rPr>
      </w:pPr>
    </w:p>
    <w:p w14:paraId="63514229" w14:textId="1C4D0768" w:rsidR="00DB65F9" w:rsidRPr="00FB363E" w:rsidRDefault="00887CE4" w:rsidP="00613738">
      <w:pPr>
        <w:pStyle w:val="BodyText"/>
        <w:spacing w:before="7"/>
        <w:ind w:left="180" w:right="80"/>
        <w:jc w:val="both"/>
        <w:rPr>
          <w:rFonts w:asciiTheme="minorHAnsi" w:hAnsiTheme="minorHAnsi" w:cstheme="minorHAnsi"/>
          <w:sz w:val="18"/>
          <w:szCs w:val="18"/>
        </w:rPr>
      </w:pPr>
      <w:r w:rsidRPr="00FB363E">
        <w:rPr>
          <w:rFonts w:asciiTheme="minorHAnsi" w:hAnsiTheme="minorHAnsi" w:cstheme="minorHAnsi"/>
          <w:sz w:val="18"/>
          <w:szCs w:val="18"/>
        </w:rPr>
        <w:t xml:space="preserve">This information is for those individuals who wish to have </w:t>
      </w:r>
      <w:r w:rsidR="00E34DC4" w:rsidRPr="00FB363E">
        <w:rPr>
          <w:rFonts w:asciiTheme="minorHAnsi" w:hAnsiTheme="minorHAnsi" w:cstheme="minorHAnsi"/>
          <w:sz w:val="18"/>
          <w:szCs w:val="18"/>
        </w:rPr>
        <w:t xml:space="preserve">our Firm </w:t>
      </w:r>
      <w:r w:rsidRPr="00FB363E">
        <w:rPr>
          <w:rFonts w:asciiTheme="minorHAnsi" w:hAnsiTheme="minorHAnsi" w:cstheme="minorHAnsi"/>
          <w:sz w:val="18"/>
          <w:szCs w:val="18"/>
        </w:rPr>
        <w:t xml:space="preserve">manage a portfolio of </w:t>
      </w:r>
      <w:r w:rsidR="00D62BFA">
        <w:rPr>
          <w:rFonts w:asciiTheme="minorHAnsi" w:hAnsiTheme="minorHAnsi" w:cstheme="minorHAnsi"/>
          <w:sz w:val="18"/>
          <w:szCs w:val="18"/>
        </w:rPr>
        <w:t xml:space="preserve">crypto </w:t>
      </w:r>
      <w:r w:rsidR="004F7139">
        <w:rPr>
          <w:rFonts w:asciiTheme="minorHAnsi" w:hAnsiTheme="minorHAnsi" w:cstheme="minorHAnsi"/>
          <w:sz w:val="18"/>
          <w:szCs w:val="18"/>
        </w:rPr>
        <w:t>(“digital assets</w:t>
      </w:r>
      <w:r w:rsidR="00427687">
        <w:rPr>
          <w:rFonts w:asciiTheme="minorHAnsi" w:hAnsiTheme="minorHAnsi" w:cstheme="minorHAnsi"/>
          <w:sz w:val="18"/>
          <w:szCs w:val="18"/>
        </w:rPr>
        <w:t xml:space="preserve">”) </w:t>
      </w:r>
      <w:r w:rsidRPr="00FB363E">
        <w:rPr>
          <w:rFonts w:asciiTheme="minorHAnsi" w:hAnsiTheme="minorHAnsi" w:cstheme="minorHAnsi"/>
          <w:sz w:val="18"/>
          <w:szCs w:val="18"/>
        </w:rPr>
        <w:t xml:space="preserve">assets on their behalf. All investments have risks, but due to the </w:t>
      </w:r>
      <w:r w:rsidR="004D647F">
        <w:rPr>
          <w:rFonts w:asciiTheme="minorHAnsi" w:hAnsiTheme="minorHAnsi" w:cstheme="minorHAnsi"/>
          <w:sz w:val="18"/>
          <w:szCs w:val="18"/>
        </w:rPr>
        <w:t>r</w:t>
      </w:r>
      <w:r w:rsidRPr="00FB363E">
        <w:rPr>
          <w:rFonts w:asciiTheme="minorHAnsi" w:hAnsiTheme="minorHAnsi" w:cstheme="minorHAnsi"/>
          <w:sz w:val="18"/>
          <w:szCs w:val="18"/>
        </w:rPr>
        <w:t xml:space="preserve">apidly advancing, and changing landscape in the digital assets space, </w:t>
      </w:r>
      <w:r w:rsidR="00E71AC9">
        <w:rPr>
          <w:rFonts w:asciiTheme="minorHAnsi" w:hAnsiTheme="minorHAnsi" w:cstheme="minorHAnsi"/>
          <w:sz w:val="18"/>
          <w:szCs w:val="18"/>
        </w:rPr>
        <w:t>our Firm</w:t>
      </w:r>
      <w:r w:rsidRPr="00FB363E">
        <w:rPr>
          <w:rFonts w:asciiTheme="minorHAnsi" w:hAnsiTheme="minorHAnsi" w:cstheme="minorHAnsi"/>
          <w:sz w:val="18"/>
          <w:szCs w:val="18"/>
        </w:rPr>
        <w:t xml:space="preserve"> believes it prudent to share with potential investors some of the risks inherent in digital assets in general in more detail.</w:t>
      </w:r>
    </w:p>
    <w:p w14:paraId="611D9AF4" w14:textId="77777777" w:rsidR="00ED3F90" w:rsidRPr="00FB363E" w:rsidRDefault="00ED3F90" w:rsidP="00613738">
      <w:pPr>
        <w:pStyle w:val="BodyText"/>
        <w:spacing w:before="7"/>
        <w:ind w:left="180" w:right="80"/>
        <w:jc w:val="both"/>
        <w:rPr>
          <w:rFonts w:asciiTheme="minorHAnsi" w:hAnsiTheme="minorHAnsi" w:cstheme="minorHAnsi"/>
          <w:sz w:val="18"/>
          <w:szCs w:val="18"/>
        </w:rPr>
      </w:pPr>
    </w:p>
    <w:p w14:paraId="108C3E7B" w14:textId="6B9CB29A" w:rsidR="00ED3F90" w:rsidRPr="00FB363E" w:rsidRDefault="00ED3F90" w:rsidP="00613738">
      <w:pPr>
        <w:pStyle w:val="BodyText"/>
        <w:spacing w:before="7"/>
        <w:ind w:left="180" w:right="80"/>
        <w:jc w:val="both"/>
        <w:rPr>
          <w:rFonts w:asciiTheme="minorHAnsi" w:hAnsiTheme="minorHAnsi" w:cstheme="minorHAnsi"/>
          <w:sz w:val="18"/>
          <w:szCs w:val="18"/>
        </w:rPr>
      </w:pPr>
      <w:r w:rsidRPr="00FB363E">
        <w:rPr>
          <w:rFonts w:asciiTheme="minorHAnsi" w:hAnsiTheme="minorHAnsi" w:cstheme="minorHAnsi"/>
          <w:sz w:val="18"/>
          <w:szCs w:val="18"/>
        </w:rPr>
        <w:t>The price of digital assets ha</w:t>
      </w:r>
      <w:r w:rsidR="00767AC3">
        <w:rPr>
          <w:rFonts w:asciiTheme="minorHAnsi" w:hAnsiTheme="minorHAnsi" w:cstheme="minorHAnsi"/>
          <w:sz w:val="18"/>
          <w:szCs w:val="18"/>
        </w:rPr>
        <w:t>s</w:t>
      </w:r>
      <w:r w:rsidRPr="00FB363E">
        <w:rPr>
          <w:rFonts w:asciiTheme="minorHAnsi" w:hAnsiTheme="minorHAnsi" w:cstheme="minorHAnsi"/>
          <w:sz w:val="18"/>
          <w:szCs w:val="18"/>
        </w:rPr>
        <w:t xml:space="preserve"> historically been subject to dramatic fluctuations and </w:t>
      </w:r>
      <w:r w:rsidR="00C96AB9">
        <w:rPr>
          <w:rFonts w:asciiTheme="minorHAnsi" w:hAnsiTheme="minorHAnsi" w:cstheme="minorHAnsi"/>
          <w:sz w:val="18"/>
          <w:szCs w:val="18"/>
        </w:rPr>
        <w:t>is</w:t>
      </w:r>
      <w:r w:rsidRPr="00FB363E">
        <w:rPr>
          <w:rFonts w:asciiTheme="minorHAnsi" w:hAnsiTheme="minorHAnsi" w:cstheme="minorHAnsi"/>
          <w:sz w:val="18"/>
          <w:szCs w:val="18"/>
        </w:rPr>
        <w:t xml:space="preserve"> highly volatile. Several factors may influence the market price of these assets including, but not limited to:</w:t>
      </w:r>
    </w:p>
    <w:p w14:paraId="0C1BEE36" w14:textId="77777777" w:rsidR="006D31B4" w:rsidRPr="00FB363E" w:rsidRDefault="006D31B4" w:rsidP="009B281D">
      <w:pPr>
        <w:ind w:right="80"/>
        <w:jc w:val="both"/>
        <w:rPr>
          <w:rFonts w:cstheme="minorHAnsi"/>
          <w:sz w:val="18"/>
          <w:szCs w:val="18"/>
        </w:rPr>
      </w:pPr>
    </w:p>
    <w:p w14:paraId="3DB6E11C" w14:textId="4B86A159" w:rsidR="006D31B4" w:rsidRPr="00FB363E" w:rsidRDefault="006D31B4" w:rsidP="00613738">
      <w:pPr>
        <w:ind w:left="180" w:right="80"/>
        <w:jc w:val="both"/>
        <w:rPr>
          <w:rFonts w:cstheme="minorHAnsi"/>
          <w:sz w:val="18"/>
          <w:szCs w:val="18"/>
        </w:rPr>
      </w:pPr>
      <w:r w:rsidRPr="00FB363E">
        <w:rPr>
          <w:rFonts w:cstheme="minorHAnsi"/>
          <w:sz w:val="18"/>
          <w:szCs w:val="18"/>
        </w:rPr>
        <w:t>As a new technological development, investing in digital assets is subject to different risks in addition to those traditionally associated with the trading of assets. These digital assets are highly speculative and can lose some or all of their value and are not covered by FDIC or SIPC insurance.</w:t>
      </w:r>
    </w:p>
    <w:p w14:paraId="5E8CA454" w14:textId="77777777" w:rsidR="00BF46C9" w:rsidRPr="00FB363E" w:rsidRDefault="00BF46C9" w:rsidP="00CE41C1">
      <w:pPr>
        <w:ind w:left="180" w:right="80"/>
        <w:rPr>
          <w:rFonts w:cstheme="minorHAnsi"/>
          <w:sz w:val="18"/>
          <w:szCs w:val="18"/>
        </w:rPr>
      </w:pPr>
    </w:p>
    <w:p w14:paraId="6E83D865" w14:textId="77777777" w:rsidR="00FB363E" w:rsidRDefault="00FB363E"/>
    <w:tbl>
      <w:tblPr>
        <w:tblStyle w:val="TableGrid"/>
        <w:tblW w:w="10705" w:type="dxa"/>
        <w:tblInd w:w="180" w:type="dxa"/>
        <w:tblLook w:val="04A0" w:firstRow="1" w:lastRow="0" w:firstColumn="1" w:lastColumn="0" w:noHBand="0" w:noVBand="1"/>
      </w:tblPr>
      <w:tblGrid>
        <w:gridCol w:w="9265"/>
        <w:gridCol w:w="1425"/>
        <w:gridCol w:w="15"/>
      </w:tblGrid>
      <w:tr w:rsidR="006520E1" w:rsidRPr="00FB363E" w14:paraId="18CDCE75" w14:textId="2E5A96BD" w:rsidTr="009B281D">
        <w:trPr>
          <w:gridAfter w:val="1"/>
          <w:wAfter w:w="15" w:type="dxa"/>
        </w:trPr>
        <w:tc>
          <w:tcPr>
            <w:tcW w:w="9265" w:type="dxa"/>
            <w:shd w:val="clear" w:color="auto" w:fill="FFFDCE"/>
          </w:tcPr>
          <w:p w14:paraId="10BC09BA" w14:textId="48C89E2B" w:rsidR="006520E1" w:rsidRPr="00FB363E" w:rsidRDefault="00DE5D1E" w:rsidP="006520E1">
            <w:pPr>
              <w:spacing w:beforeLines="80" w:before="192" w:afterLines="80" w:after="192"/>
              <w:rPr>
                <w:rFonts w:cstheme="minorHAnsi"/>
                <w:sz w:val="18"/>
                <w:szCs w:val="18"/>
              </w:rPr>
            </w:pPr>
            <w:r w:rsidRPr="00FB363E">
              <w:rPr>
                <w:rFonts w:cstheme="minorHAnsi"/>
                <w:b/>
                <w:bCs/>
                <w:sz w:val="18"/>
                <w:szCs w:val="18"/>
              </w:rPr>
              <w:t>ACKNOWLEDGEMENT OF GENERAL RISKS ASSOCIATED WITH</w:t>
            </w:r>
            <w:r>
              <w:rPr>
                <w:rFonts w:cstheme="minorHAnsi"/>
                <w:b/>
                <w:bCs/>
                <w:sz w:val="18"/>
                <w:szCs w:val="18"/>
              </w:rPr>
              <w:t xml:space="preserve"> CRYPTOCURRENCY &amp;</w:t>
            </w:r>
            <w:r w:rsidRPr="00FB363E">
              <w:rPr>
                <w:rFonts w:cstheme="minorHAnsi"/>
                <w:b/>
                <w:bCs/>
                <w:sz w:val="18"/>
                <w:szCs w:val="18"/>
              </w:rPr>
              <w:t xml:space="preserve"> DIGITAL ASSETS</w:t>
            </w:r>
            <w:r w:rsidRPr="002B05C6" w:rsidDel="00DE5D1E">
              <w:rPr>
                <w:rFonts w:cstheme="minorHAnsi"/>
                <w:b/>
                <w:bCs/>
                <w:sz w:val="18"/>
                <w:szCs w:val="18"/>
              </w:rPr>
              <w:t xml:space="preserve"> </w:t>
            </w:r>
          </w:p>
        </w:tc>
        <w:tc>
          <w:tcPr>
            <w:tcW w:w="1425" w:type="dxa"/>
            <w:shd w:val="clear" w:color="auto" w:fill="FFFDCE"/>
          </w:tcPr>
          <w:p w14:paraId="6455A4BA" w14:textId="21A87092" w:rsidR="006520E1" w:rsidRPr="00FB363E" w:rsidRDefault="005B16A3" w:rsidP="005B16A3">
            <w:pPr>
              <w:spacing w:beforeLines="80" w:before="192" w:afterLines="80" w:after="192"/>
              <w:jc w:val="center"/>
              <w:rPr>
                <w:rFonts w:cstheme="minorHAnsi"/>
                <w:b/>
                <w:bCs/>
                <w:sz w:val="18"/>
                <w:szCs w:val="18"/>
              </w:rPr>
            </w:pPr>
            <w:r w:rsidRPr="00FB363E">
              <w:rPr>
                <w:rFonts w:cstheme="minorHAnsi"/>
                <w:b/>
                <w:bCs/>
                <w:sz w:val="18"/>
                <w:szCs w:val="18"/>
              </w:rPr>
              <w:t>Client Initials</w:t>
            </w:r>
          </w:p>
        </w:tc>
      </w:tr>
      <w:tr w:rsidR="006520E1" w:rsidRPr="00FB363E" w14:paraId="11B3184B" w14:textId="4299707D" w:rsidTr="009B281D">
        <w:trPr>
          <w:gridAfter w:val="1"/>
          <w:wAfter w:w="15" w:type="dxa"/>
        </w:trPr>
        <w:tc>
          <w:tcPr>
            <w:tcW w:w="9265" w:type="dxa"/>
          </w:tcPr>
          <w:p w14:paraId="2A762696" w14:textId="453DDDD6" w:rsidR="006520E1" w:rsidRPr="00FB363E" w:rsidRDefault="006520E1" w:rsidP="002D3C8E">
            <w:pPr>
              <w:spacing w:beforeLines="80" w:before="192" w:afterLines="80" w:after="192"/>
              <w:ind w:left="63" w:right="67"/>
              <w:jc w:val="both"/>
              <w:rPr>
                <w:rFonts w:cstheme="minorHAnsi"/>
                <w:sz w:val="18"/>
                <w:szCs w:val="18"/>
              </w:rPr>
            </w:pPr>
            <w:r w:rsidRPr="002B05C6">
              <w:rPr>
                <w:rFonts w:cstheme="minorHAnsi"/>
                <w:sz w:val="18"/>
                <w:szCs w:val="18"/>
              </w:rPr>
              <w:t>There can be no assurance that the digital asse</w:t>
            </w:r>
            <w:r w:rsidR="00EE1C3C">
              <w:rPr>
                <w:rFonts w:cstheme="minorHAnsi"/>
                <w:sz w:val="18"/>
                <w:szCs w:val="18"/>
              </w:rPr>
              <w:t>t</w:t>
            </w:r>
            <w:r w:rsidRPr="002B05C6">
              <w:rPr>
                <w:rFonts w:cstheme="minorHAnsi"/>
                <w:sz w:val="18"/>
                <w:szCs w:val="18"/>
              </w:rPr>
              <w:t xml:space="preserve"> industry will continue in its current form. </w:t>
            </w:r>
            <w:r w:rsidR="00EE1C3C">
              <w:rPr>
                <w:rFonts w:cstheme="minorHAnsi"/>
                <w:sz w:val="18"/>
                <w:szCs w:val="18"/>
              </w:rPr>
              <w:t>Digital</w:t>
            </w:r>
            <w:r w:rsidR="008B39DF" w:rsidRPr="002B05C6">
              <w:rPr>
                <w:rFonts w:cstheme="minorHAnsi"/>
                <w:sz w:val="18"/>
                <w:szCs w:val="18"/>
              </w:rPr>
              <w:t xml:space="preserve"> </w:t>
            </w:r>
            <w:r w:rsidRPr="002B05C6">
              <w:rPr>
                <w:rFonts w:cstheme="minorHAnsi"/>
                <w:sz w:val="18"/>
                <w:szCs w:val="18"/>
              </w:rPr>
              <w:t xml:space="preserve">assets are generally created and supported by an underlying blockchain or protocol, such as the </w:t>
            </w:r>
            <w:r w:rsidR="00BC5971">
              <w:rPr>
                <w:rFonts w:cstheme="minorHAnsi"/>
                <w:sz w:val="18"/>
                <w:szCs w:val="18"/>
              </w:rPr>
              <w:t>d</w:t>
            </w:r>
            <w:r w:rsidR="00676205">
              <w:rPr>
                <w:rFonts w:cstheme="minorHAnsi"/>
                <w:sz w:val="18"/>
                <w:szCs w:val="18"/>
              </w:rPr>
              <w:t xml:space="preserve">igital </w:t>
            </w:r>
            <w:r w:rsidR="00BC5971">
              <w:rPr>
                <w:rFonts w:cstheme="minorHAnsi"/>
                <w:sz w:val="18"/>
                <w:szCs w:val="18"/>
              </w:rPr>
              <w:t>a</w:t>
            </w:r>
            <w:r w:rsidR="00676205">
              <w:rPr>
                <w:rFonts w:cstheme="minorHAnsi"/>
                <w:sz w:val="18"/>
                <w:szCs w:val="18"/>
              </w:rPr>
              <w:t>sset</w:t>
            </w:r>
            <w:r w:rsidRPr="002B05C6">
              <w:rPr>
                <w:rFonts w:cstheme="minorHAnsi"/>
                <w:sz w:val="18"/>
                <w:szCs w:val="18"/>
              </w:rPr>
              <w:t xml:space="preserve"> </w:t>
            </w:r>
            <w:r w:rsidR="00BC5971">
              <w:rPr>
                <w:rFonts w:cstheme="minorHAnsi"/>
                <w:sz w:val="18"/>
                <w:szCs w:val="18"/>
              </w:rPr>
              <w:t>p</w:t>
            </w:r>
            <w:r w:rsidRPr="002B05C6">
              <w:rPr>
                <w:rFonts w:cstheme="minorHAnsi"/>
                <w:sz w:val="18"/>
                <w:szCs w:val="18"/>
              </w:rPr>
              <w:t xml:space="preserve">rotocol or the </w:t>
            </w:r>
            <w:r w:rsidRPr="002B05C6" w:rsidDel="007B466F">
              <w:rPr>
                <w:rFonts w:cstheme="minorHAnsi"/>
                <w:sz w:val="18"/>
                <w:szCs w:val="18"/>
              </w:rPr>
              <w:t>E</w:t>
            </w:r>
            <w:r w:rsidRPr="002B05C6">
              <w:rPr>
                <w:rFonts w:cstheme="minorHAnsi"/>
                <w:sz w:val="18"/>
                <w:szCs w:val="18"/>
              </w:rPr>
              <w:t xml:space="preserve">thereum Protocol. Any malfunction, malicious attack, </w:t>
            </w:r>
            <w:r w:rsidR="00042909" w:rsidRPr="00FB363E">
              <w:rPr>
                <w:rFonts w:cstheme="minorHAnsi"/>
                <w:sz w:val="18"/>
                <w:szCs w:val="18"/>
              </w:rPr>
              <w:t>breakdown,</w:t>
            </w:r>
            <w:r w:rsidRPr="002B05C6">
              <w:rPr>
                <w:rFonts w:cstheme="minorHAnsi"/>
                <w:sz w:val="18"/>
                <w:szCs w:val="18"/>
              </w:rPr>
              <w:t xml:space="preserve"> or abandonment of the network may have an adverse effect on the digital asset’s protocol or network which could lead to loss of value of the digital asset. Moreover, advances in cryptography, or technical advances such as</w:t>
            </w:r>
            <w:r w:rsidR="00F375D8">
              <w:rPr>
                <w:rFonts w:cstheme="minorHAnsi"/>
                <w:sz w:val="18"/>
                <w:szCs w:val="18"/>
              </w:rPr>
              <w:t xml:space="preserve">, </w:t>
            </w:r>
            <w:r w:rsidRPr="002B05C6">
              <w:rPr>
                <w:rFonts w:cstheme="minorHAnsi"/>
                <w:sz w:val="18"/>
                <w:szCs w:val="18"/>
              </w:rPr>
              <w:t xml:space="preserve">the </w:t>
            </w:r>
            <w:r w:rsidRPr="00FB363E">
              <w:rPr>
                <w:rFonts w:cstheme="minorHAnsi"/>
                <w:sz w:val="18"/>
                <w:szCs w:val="18"/>
              </w:rPr>
              <w:t xml:space="preserve">development of quantum computing, could present risks to the digital assets by rendering ineffective the cryptographic consensus mechanism that underpins a digital asset’s protocol. There can be no assurance that changes or developments in digital asset protocols will not adversely impact your </w:t>
            </w:r>
            <w:r w:rsidR="007B0013">
              <w:rPr>
                <w:rFonts w:cstheme="minorHAnsi"/>
                <w:sz w:val="18"/>
                <w:szCs w:val="18"/>
              </w:rPr>
              <w:t>a</w:t>
            </w:r>
            <w:r w:rsidRPr="00FB363E">
              <w:rPr>
                <w:rFonts w:cstheme="minorHAnsi"/>
                <w:sz w:val="18"/>
                <w:szCs w:val="18"/>
              </w:rPr>
              <w:t>ccount</w:t>
            </w:r>
            <w:r w:rsidR="007B0013">
              <w:rPr>
                <w:rFonts w:cstheme="minorHAnsi"/>
                <w:sz w:val="18"/>
                <w:szCs w:val="18"/>
              </w:rPr>
              <w:t xml:space="preserve"> holding</w:t>
            </w:r>
            <w:r w:rsidRPr="00FB363E">
              <w:rPr>
                <w:rFonts w:cstheme="minorHAnsi"/>
                <w:sz w:val="18"/>
                <w:szCs w:val="18"/>
              </w:rPr>
              <w:t>. The protocols on which digital assets are based are generally open</w:t>
            </w:r>
            <w:r w:rsidR="009A3FC5">
              <w:rPr>
                <w:rFonts w:cstheme="minorHAnsi"/>
                <w:sz w:val="18"/>
                <w:szCs w:val="18"/>
              </w:rPr>
              <w:t>-</w:t>
            </w:r>
            <w:r w:rsidRPr="00FB363E">
              <w:rPr>
                <w:rFonts w:cstheme="minorHAnsi"/>
                <w:sz w:val="18"/>
                <w:szCs w:val="18"/>
              </w:rPr>
              <w:t xml:space="preserve">source (permissionless) software. </w:t>
            </w:r>
          </w:p>
        </w:tc>
        <w:tc>
          <w:tcPr>
            <w:tcW w:w="1425" w:type="dxa"/>
          </w:tcPr>
          <w:p w14:paraId="137D39CA" w14:textId="77777777" w:rsidR="006520E1" w:rsidRPr="00FB363E" w:rsidRDefault="006520E1" w:rsidP="00683449">
            <w:pPr>
              <w:spacing w:beforeLines="80" w:before="192" w:afterLines="80" w:after="192"/>
              <w:jc w:val="both"/>
              <w:rPr>
                <w:rFonts w:cstheme="minorHAnsi"/>
                <w:sz w:val="18"/>
                <w:szCs w:val="18"/>
              </w:rPr>
            </w:pPr>
          </w:p>
        </w:tc>
      </w:tr>
      <w:tr w:rsidR="006520E1" w:rsidRPr="00FB363E" w14:paraId="0962D544" w14:textId="30DDA6D4" w:rsidTr="009B281D">
        <w:trPr>
          <w:gridAfter w:val="1"/>
          <w:wAfter w:w="15" w:type="dxa"/>
        </w:trPr>
        <w:tc>
          <w:tcPr>
            <w:tcW w:w="9265" w:type="dxa"/>
          </w:tcPr>
          <w:p w14:paraId="1EB7B9E2" w14:textId="4EA875D8" w:rsidR="006520E1" w:rsidRPr="00FB363E" w:rsidRDefault="006520E1" w:rsidP="002D3C8E">
            <w:pPr>
              <w:pStyle w:val="NormalWeb"/>
              <w:spacing w:beforeLines="80" w:before="192" w:beforeAutospacing="0" w:afterLines="80" w:after="192" w:afterAutospacing="0"/>
              <w:ind w:left="63" w:right="67"/>
              <w:jc w:val="both"/>
              <w:rPr>
                <w:rFonts w:asciiTheme="minorHAnsi" w:hAnsiTheme="minorHAnsi" w:cstheme="minorHAnsi"/>
                <w:sz w:val="18"/>
                <w:szCs w:val="18"/>
              </w:rPr>
            </w:pPr>
            <w:r w:rsidRPr="00FB363E">
              <w:rPr>
                <w:rFonts w:asciiTheme="minorHAnsi" w:hAnsiTheme="minorHAnsi" w:cstheme="minorHAnsi"/>
                <w:b/>
                <w:bCs/>
                <w:sz w:val="18"/>
                <w:szCs w:val="18"/>
              </w:rPr>
              <w:t xml:space="preserve">Loss or Destruction of the Private Key. </w:t>
            </w:r>
            <w:r w:rsidRPr="00402DFB">
              <w:rPr>
                <w:rFonts w:asciiTheme="minorHAnsi" w:hAnsiTheme="minorHAnsi" w:cstheme="minorHAnsi"/>
                <w:sz w:val="18"/>
                <w:szCs w:val="18"/>
              </w:rPr>
              <w:t xml:space="preserve"> </w:t>
            </w:r>
            <w:r w:rsidR="00402DFB" w:rsidRPr="00402DFB">
              <w:rPr>
                <w:rFonts w:asciiTheme="minorHAnsi" w:hAnsiTheme="minorHAnsi" w:cstheme="minorHAnsi"/>
                <w:sz w:val="18"/>
                <w:szCs w:val="18"/>
              </w:rPr>
              <w:t>D</w:t>
            </w:r>
            <w:r w:rsidR="00402DFB">
              <w:rPr>
                <w:rFonts w:asciiTheme="minorHAnsi" w:hAnsiTheme="minorHAnsi" w:cstheme="minorHAnsi"/>
                <w:sz w:val="18"/>
                <w:szCs w:val="18"/>
              </w:rPr>
              <w:t>igital</w:t>
            </w:r>
            <w:r w:rsidRPr="00FB363E">
              <w:rPr>
                <w:rFonts w:asciiTheme="minorHAnsi" w:hAnsiTheme="minorHAnsi" w:cstheme="minorHAnsi"/>
                <w:sz w:val="18"/>
                <w:szCs w:val="18"/>
              </w:rPr>
              <w:t xml:space="preserve"> assets</w:t>
            </w:r>
            <w:r w:rsidR="00402DFB">
              <w:rPr>
                <w:rFonts w:asciiTheme="minorHAnsi" w:hAnsiTheme="minorHAnsi" w:cstheme="minorHAnsi"/>
                <w:sz w:val="18"/>
                <w:szCs w:val="18"/>
              </w:rPr>
              <w:t xml:space="preserve"> </w:t>
            </w:r>
            <w:r w:rsidRPr="00FB363E">
              <w:rPr>
                <w:rFonts w:asciiTheme="minorHAnsi" w:hAnsiTheme="minorHAnsi" w:cstheme="minorHAnsi"/>
                <w:sz w:val="18"/>
                <w:szCs w:val="18"/>
              </w:rPr>
              <w:t xml:space="preserve">are stored in a digital wallet and are controllable only by the possessor of both the public key and the private key relating to the digital wallet in which the </w:t>
            </w:r>
            <w:r w:rsidR="00E924C9">
              <w:rPr>
                <w:rFonts w:asciiTheme="minorHAnsi" w:hAnsiTheme="minorHAnsi" w:cstheme="minorHAnsi"/>
                <w:sz w:val="18"/>
                <w:szCs w:val="18"/>
              </w:rPr>
              <w:t>digital currency</w:t>
            </w:r>
            <w:r w:rsidR="00E924C9" w:rsidRPr="00FB363E">
              <w:rPr>
                <w:rFonts w:asciiTheme="minorHAnsi" w:hAnsiTheme="minorHAnsi" w:cstheme="minorHAnsi"/>
                <w:sz w:val="18"/>
                <w:szCs w:val="18"/>
              </w:rPr>
              <w:t xml:space="preserve"> </w:t>
            </w:r>
            <w:r w:rsidR="00D87D15">
              <w:rPr>
                <w:rFonts w:asciiTheme="minorHAnsi" w:hAnsiTheme="minorHAnsi" w:cstheme="minorHAnsi"/>
                <w:sz w:val="18"/>
                <w:szCs w:val="18"/>
              </w:rPr>
              <w:t>is</w:t>
            </w:r>
            <w:r w:rsidRPr="00FB363E">
              <w:rPr>
                <w:rFonts w:asciiTheme="minorHAnsi" w:hAnsiTheme="minorHAnsi" w:cstheme="minorHAnsi"/>
                <w:sz w:val="18"/>
                <w:szCs w:val="18"/>
              </w:rPr>
              <w:t xml:space="preserve"> held, both of which are unique. If the private key is lost, </w:t>
            </w:r>
            <w:r w:rsidR="00042909" w:rsidRPr="00FB363E">
              <w:rPr>
                <w:rFonts w:asciiTheme="minorHAnsi" w:hAnsiTheme="minorHAnsi" w:cstheme="minorHAnsi"/>
                <w:sz w:val="18"/>
                <w:szCs w:val="18"/>
              </w:rPr>
              <w:t>destroyed,</w:t>
            </w:r>
            <w:r w:rsidRPr="00FB363E">
              <w:rPr>
                <w:rFonts w:asciiTheme="minorHAnsi" w:hAnsiTheme="minorHAnsi" w:cstheme="minorHAnsi"/>
                <w:sz w:val="18"/>
                <w:szCs w:val="18"/>
              </w:rPr>
              <w:t xml:space="preserve"> or otherwise compromised, an investor may be unable to access the </w:t>
            </w:r>
            <w:r w:rsidR="00E81112">
              <w:rPr>
                <w:rFonts w:asciiTheme="minorHAnsi" w:hAnsiTheme="minorHAnsi" w:cstheme="minorHAnsi"/>
                <w:sz w:val="18"/>
                <w:szCs w:val="18"/>
              </w:rPr>
              <w:t xml:space="preserve">digital assets </w:t>
            </w:r>
            <w:r w:rsidRPr="00FB363E">
              <w:rPr>
                <w:rFonts w:asciiTheme="minorHAnsi" w:hAnsiTheme="minorHAnsi" w:cstheme="minorHAnsi"/>
                <w:sz w:val="18"/>
                <w:szCs w:val="18"/>
              </w:rPr>
              <w:t>held in the related digital wallet</w:t>
            </w:r>
            <w:r w:rsidR="00AD2148">
              <w:rPr>
                <w:rFonts w:asciiTheme="minorHAnsi" w:hAnsiTheme="minorHAnsi" w:cstheme="minorHAnsi"/>
                <w:sz w:val="18"/>
                <w:szCs w:val="18"/>
              </w:rPr>
              <w:t>,</w:t>
            </w:r>
            <w:r w:rsidRPr="00FB363E">
              <w:rPr>
                <w:rFonts w:asciiTheme="minorHAnsi" w:hAnsiTheme="minorHAnsi" w:cstheme="minorHAnsi"/>
                <w:sz w:val="18"/>
                <w:szCs w:val="18"/>
              </w:rPr>
              <w:t xml:space="preserve"> which will essentially be lost. If the private key is acquired by a third</w:t>
            </w:r>
            <w:r w:rsidR="00035D50">
              <w:rPr>
                <w:rFonts w:asciiTheme="minorHAnsi" w:hAnsiTheme="minorHAnsi" w:cstheme="minorHAnsi"/>
                <w:sz w:val="18"/>
                <w:szCs w:val="18"/>
              </w:rPr>
              <w:t xml:space="preserve"> </w:t>
            </w:r>
            <w:r w:rsidRPr="00FB363E">
              <w:rPr>
                <w:rFonts w:asciiTheme="minorHAnsi" w:hAnsiTheme="minorHAnsi" w:cstheme="minorHAnsi"/>
                <w:sz w:val="18"/>
                <w:szCs w:val="18"/>
              </w:rPr>
              <w:t>party, then this third</w:t>
            </w:r>
            <w:r w:rsidR="00883A87">
              <w:rPr>
                <w:rFonts w:asciiTheme="minorHAnsi" w:hAnsiTheme="minorHAnsi" w:cstheme="minorHAnsi"/>
                <w:sz w:val="18"/>
                <w:szCs w:val="18"/>
              </w:rPr>
              <w:t xml:space="preserve"> </w:t>
            </w:r>
            <w:r w:rsidRPr="00FB363E">
              <w:rPr>
                <w:rFonts w:asciiTheme="minorHAnsi" w:hAnsiTheme="minorHAnsi" w:cstheme="minorHAnsi"/>
                <w:sz w:val="18"/>
                <w:szCs w:val="18"/>
              </w:rPr>
              <w:t xml:space="preserve">party may be able to gain access to the </w:t>
            </w:r>
            <w:r w:rsidR="00E81112">
              <w:rPr>
                <w:rFonts w:asciiTheme="minorHAnsi" w:hAnsiTheme="minorHAnsi" w:cstheme="minorHAnsi"/>
                <w:sz w:val="18"/>
                <w:szCs w:val="18"/>
              </w:rPr>
              <w:t>digital assets</w:t>
            </w:r>
            <w:r w:rsidRPr="00FB363E">
              <w:rPr>
                <w:rFonts w:asciiTheme="minorHAnsi" w:hAnsiTheme="minorHAnsi" w:cstheme="minorHAnsi"/>
                <w:sz w:val="18"/>
                <w:szCs w:val="18"/>
              </w:rPr>
              <w:t xml:space="preserve">. </w:t>
            </w:r>
          </w:p>
        </w:tc>
        <w:tc>
          <w:tcPr>
            <w:tcW w:w="1425" w:type="dxa"/>
          </w:tcPr>
          <w:p w14:paraId="4255E07E" w14:textId="77777777" w:rsidR="006520E1" w:rsidRPr="00FB363E" w:rsidRDefault="006520E1" w:rsidP="00683449">
            <w:pPr>
              <w:pStyle w:val="NormalWeb"/>
              <w:spacing w:beforeLines="80" w:before="192" w:beforeAutospacing="0" w:afterLines="80" w:after="192" w:afterAutospacing="0"/>
              <w:jc w:val="both"/>
              <w:rPr>
                <w:rFonts w:asciiTheme="minorHAnsi" w:hAnsiTheme="minorHAnsi" w:cstheme="minorHAnsi"/>
                <w:b/>
                <w:bCs/>
                <w:sz w:val="18"/>
                <w:szCs w:val="18"/>
              </w:rPr>
            </w:pPr>
          </w:p>
        </w:tc>
      </w:tr>
      <w:tr w:rsidR="00490176" w:rsidRPr="00FB363E" w14:paraId="1F6A6B98" w14:textId="77777777" w:rsidTr="009B281D">
        <w:tc>
          <w:tcPr>
            <w:tcW w:w="9265" w:type="dxa"/>
          </w:tcPr>
          <w:p w14:paraId="093CF56A" w14:textId="77777777" w:rsidR="00C93CDB" w:rsidRDefault="00C93CDB" w:rsidP="00C93CDB">
            <w:pPr>
              <w:pStyle w:val="NormalWeb"/>
              <w:spacing w:beforeLines="80" w:before="192" w:beforeAutospacing="0" w:afterLines="80" w:after="192" w:afterAutospacing="0"/>
              <w:jc w:val="both"/>
              <w:rPr>
                <w:rFonts w:asciiTheme="minorHAnsi" w:hAnsiTheme="minorHAnsi" w:cstheme="minorHAnsi"/>
                <w:sz w:val="18"/>
                <w:szCs w:val="18"/>
              </w:rPr>
            </w:pPr>
            <w:r w:rsidRPr="00FB363E">
              <w:rPr>
                <w:rFonts w:asciiTheme="minorHAnsi" w:hAnsiTheme="minorHAnsi" w:cstheme="minorHAnsi"/>
                <w:b/>
                <w:bCs/>
                <w:sz w:val="18"/>
                <w:szCs w:val="18"/>
              </w:rPr>
              <w:t xml:space="preserve">Other Cyber-Security Risks Including Malicious Activity.  </w:t>
            </w:r>
            <w:r w:rsidRPr="00FB363E">
              <w:rPr>
                <w:rFonts w:asciiTheme="minorHAnsi" w:hAnsiTheme="minorHAnsi" w:cstheme="minorHAnsi"/>
                <w:sz w:val="18"/>
                <w:szCs w:val="18"/>
              </w:rPr>
              <w:t>Trading platforms and third</w:t>
            </w:r>
            <w:r>
              <w:rPr>
                <w:rFonts w:asciiTheme="minorHAnsi" w:hAnsiTheme="minorHAnsi" w:cstheme="minorHAnsi"/>
                <w:sz w:val="18"/>
                <w:szCs w:val="18"/>
              </w:rPr>
              <w:t>-</w:t>
            </w:r>
            <w:r w:rsidRPr="00FB363E">
              <w:rPr>
                <w:rFonts w:asciiTheme="minorHAnsi" w:hAnsiTheme="minorHAnsi" w:cstheme="minorHAnsi"/>
                <w:sz w:val="18"/>
                <w:szCs w:val="18"/>
              </w:rPr>
              <w:t>party service providers may be vulnerable to hacking or other malicious activiti</w:t>
            </w:r>
            <w:r>
              <w:rPr>
                <w:rFonts w:asciiTheme="minorHAnsi" w:hAnsiTheme="minorHAnsi" w:cstheme="minorHAnsi"/>
                <w:sz w:val="18"/>
                <w:szCs w:val="18"/>
              </w:rPr>
              <w:t xml:space="preserve">es and could result in </w:t>
            </w:r>
            <w:r w:rsidRPr="00FB363E">
              <w:rPr>
                <w:rFonts w:asciiTheme="minorHAnsi" w:hAnsiTheme="minorHAnsi" w:cstheme="minorHAnsi"/>
                <w:sz w:val="18"/>
                <w:szCs w:val="18"/>
              </w:rPr>
              <w:t>Blockchain</w:t>
            </w:r>
            <w:r>
              <w:rPr>
                <w:rFonts w:asciiTheme="minorHAnsi" w:hAnsiTheme="minorHAnsi" w:cstheme="minorHAnsi"/>
                <w:sz w:val="18"/>
                <w:szCs w:val="18"/>
              </w:rPr>
              <w:t>s</w:t>
            </w:r>
            <w:r w:rsidRPr="00FB363E">
              <w:rPr>
                <w:rFonts w:asciiTheme="minorHAnsi" w:hAnsiTheme="minorHAnsi" w:cstheme="minorHAnsi"/>
                <w:sz w:val="18"/>
                <w:szCs w:val="18"/>
              </w:rPr>
              <w:t xml:space="preserve"> </w:t>
            </w:r>
            <w:r>
              <w:rPr>
                <w:rFonts w:asciiTheme="minorHAnsi" w:hAnsiTheme="minorHAnsi" w:cstheme="minorHAnsi"/>
                <w:sz w:val="18"/>
                <w:szCs w:val="18"/>
              </w:rPr>
              <w:t>being</w:t>
            </w:r>
            <w:r w:rsidRPr="00FB363E">
              <w:rPr>
                <w:rFonts w:asciiTheme="minorHAnsi" w:hAnsiTheme="minorHAnsi" w:cstheme="minorHAnsi"/>
                <w:sz w:val="18"/>
                <w:szCs w:val="18"/>
              </w:rPr>
              <w:t xml:space="preserve"> altered. </w:t>
            </w:r>
          </w:p>
          <w:p w14:paraId="1D350E51" w14:textId="029FA5AC" w:rsidR="00C93CDB" w:rsidRPr="00FB363E" w:rsidRDefault="00C93CDB" w:rsidP="00C93CDB">
            <w:pPr>
              <w:pStyle w:val="NormalWeb"/>
              <w:spacing w:beforeLines="80" w:before="192" w:beforeAutospacing="0" w:afterLines="80" w:after="192" w:afterAutospacing="0"/>
              <w:ind w:left="63" w:right="67"/>
              <w:jc w:val="both"/>
              <w:rPr>
                <w:rFonts w:asciiTheme="minorHAnsi" w:hAnsiTheme="minorHAnsi" w:cstheme="minorHAnsi"/>
                <w:b/>
                <w:bCs/>
                <w:sz w:val="18"/>
                <w:szCs w:val="18"/>
              </w:rPr>
            </w:pPr>
            <w:r w:rsidRPr="00FB363E">
              <w:rPr>
                <w:rFonts w:asciiTheme="minorHAnsi" w:hAnsiTheme="minorHAnsi" w:cstheme="minorHAnsi"/>
                <w:sz w:val="18"/>
                <w:szCs w:val="18"/>
              </w:rPr>
              <w:t xml:space="preserve">This risk is inherent across all digital asset platforms that use similar consensus mechanisms </w:t>
            </w:r>
            <w:r>
              <w:rPr>
                <w:rFonts w:asciiTheme="minorHAnsi" w:hAnsiTheme="minorHAnsi" w:cstheme="minorHAnsi"/>
                <w:sz w:val="18"/>
                <w:szCs w:val="18"/>
              </w:rPr>
              <w:t xml:space="preserve">such </w:t>
            </w:r>
            <w:r w:rsidRPr="00FB363E">
              <w:rPr>
                <w:rFonts w:asciiTheme="minorHAnsi" w:hAnsiTheme="minorHAnsi" w:cstheme="minorHAnsi"/>
                <w:sz w:val="18"/>
                <w:szCs w:val="18"/>
              </w:rPr>
              <w:t>as Bitcoin</w:t>
            </w:r>
            <w:r>
              <w:rPr>
                <w:rFonts w:asciiTheme="minorHAnsi" w:hAnsiTheme="minorHAnsi" w:cstheme="minorHAnsi"/>
                <w:sz w:val="18"/>
                <w:szCs w:val="18"/>
              </w:rPr>
              <w:t>, Dogecoin, and Litecoin amongst others.</w:t>
            </w:r>
          </w:p>
        </w:tc>
        <w:tc>
          <w:tcPr>
            <w:tcW w:w="1440" w:type="dxa"/>
            <w:gridSpan w:val="2"/>
          </w:tcPr>
          <w:p w14:paraId="1773082E" w14:textId="77777777" w:rsidR="00C93CDB" w:rsidRPr="00FB363E" w:rsidRDefault="00C93CDB" w:rsidP="00C93CDB">
            <w:pPr>
              <w:pStyle w:val="NormalWeb"/>
              <w:spacing w:beforeLines="80" w:before="192" w:beforeAutospacing="0" w:afterLines="80" w:after="192" w:afterAutospacing="0"/>
              <w:jc w:val="both"/>
              <w:rPr>
                <w:rFonts w:asciiTheme="minorHAnsi" w:hAnsiTheme="minorHAnsi" w:cstheme="minorHAnsi"/>
                <w:b/>
                <w:bCs/>
                <w:sz w:val="18"/>
                <w:szCs w:val="18"/>
              </w:rPr>
            </w:pPr>
          </w:p>
        </w:tc>
      </w:tr>
      <w:tr w:rsidR="00C93CDB" w:rsidRPr="00FB363E" w14:paraId="2E4C2D87" w14:textId="77777777" w:rsidTr="009B281D">
        <w:tc>
          <w:tcPr>
            <w:tcW w:w="9265" w:type="dxa"/>
          </w:tcPr>
          <w:p w14:paraId="59618D44" w14:textId="0968D362" w:rsidR="00C93CDB" w:rsidRPr="00FB363E" w:rsidRDefault="00C93CDB" w:rsidP="00C93CDB">
            <w:pPr>
              <w:pStyle w:val="NormalWeb"/>
              <w:spacing w:beforeLines="80" w:before="192" w:beforeAutospacing="0" w:afterLines="80" w:after="192" w:afterAutospacing="0"/>
              <w:jc w:val="both"/>
              <w:rPr>
                <w:rFonts w:asciiTheme="minorHAnsi" w:hAnsiTheme="minorHAnsi" w:cstheme="minorHAnsi"/>
                <w:b/>
                <w:bCs/>
                <w:sz w:val="18"/>
                <w:szCs w:val="18"/>
              </w:rPr>
            </w:pPr>
            <w:r w:rsidRPr="00FB363E">
              <w:rPr>
                <w:rFonts w:asciiTheme="minorHAnsi" w:hAnsiTheme="minorHAnsi" w:cstheme="minorHAnsi"/>
                <w:b/>
                <w:bCs/>
                <w:sz w:val="18"/>
                <w:szCs w:val="18"/>
              </w:rPr>
              <w:t xml:space="preserve">Risks Associated with Peer-to-Peer Transactions.  </w:t>
            </w:r>
            <w:r w:rsidRPr="00FB363E">
              <w:rPr>
                <w:rFonts w:asciiTheme="minorHAnsi" w:hAnsiTheme="minorHAnsi" w:cstheme="minorHAnsi"/>
                <w:sz w:val="18"/>
                <w:szCs w:val="18"/>
              </w:rPr>
              <w:t xml:space="preserve">Many </w:t>
            </w:r>
            <w:r>
              <w:rPr>
                <w:rFonts w:asciiTheme="minorHAnsi" w:hAnsiTheme="minorHAnsi" w:cstheme="minorHAnsi"/>
                <w:sz w:val="18"/>
                <w:szCs w:val="18"/>
              </w:rPr>
              <w:t>platforms</w:t>
            </w:r>
            <w:r w:rsidRPr="00FB363E">
              <w:rPr>
                <w:rFonts w:asciiTheme="minorHAnsi" w:hAnsiTheme="minorHAnsi" w:cstheme="minorHAnsi"/>
                <w:sz w:val="18"/>
                <w:szCs w:val="18"/>
              </w:rPr>
              <w:t xml:space="preserve"> bring together counterparties without providing any clear </w:t>
            </w:r>
            <w:r>
              <w:rPr>
                <w:rFonts w:asciiTheme="minorHAnsi" w:hAnsiTheme="minorHAnsi" w:cstheme="minorHAnsi"/>
                <w:sz w:val="18"/>
                <w:szCs w:val="18"/>
              </w:rPr>
              <w:t>regulation</w:t>
            </w:r>
            <w:r w:rsidRPr="00FB363E">
              <w:rPr>
                <w:rFonts w:asciiTheme="minorHAnsi" w:hAnsiTheme="minorHAnsi" w:cstheme="minorHAnsi"/>
                <w:sz w:val="18"/>
                <w:szCs w:val="18"/>
              </w:rPr>
              <w:t xml:space="preserve">. In such a case, all risks (such as double selling) remain between the parties directly involved in the transaction. </w:t>
            </w:r>
          </w:p>
        </w:tc>
        <w:tc>
          <w:tcPr>
            <w:tcW w:w="1440" w:type="dxa"/>
            <w:gridSpan w:val="2"/>
          </w:tcPr>
          <w:p w14:paraId="0E75530E" w14:textId="77777777" w:rsidR="00C93CDB" w:rsidRPr="00FB363E" w:rsidRDefault="00C93CDB" w:rsidP="00C93CDB">
            <w:pPr>
              <w:pStyle w:val="NormalWeb"/>
              <w:spacing w:beforeLines="80" w:before="192" w:beforeAutospacing="0" w:afterLines="80" w:after="192" w:afterAutospacing="0"/>
              <w:jc w:val="both"/>
              <w:rPr>
                <w:rFonts w:asciiTheme="minorHAnsi" w:hAnsiTheme="minorHAnsi" w:cstheme="minorHAnsi"/>
                <w:b/>
                <w:bCs/>
                <w:sz w:val="18"/>
                <w:szCs w:val="18"/>
              </w:rPr>
            </w:pPr>
          </w:p>
        </w:tc>
      </w:tr>
      <w:tr w:rsidR="00C93CDB" w:rsidRPr="00FB363E" w14:paraId="3B45186F" w14:textId="77777777" w:rsidTr="009B281D">
        <w:tc>
          <w:tcPr>
            <w:tcW w:w="9265" w:type="dxa"/>
          </w:tcPr>
          <w:p w14:paraId="1BAFAA53" w14:textId="7A3856FD" w:rsidR="00C93CDB" w:rsidRPr="00FB363E" w:rsidRDefault="00C93CDB" w:rsidP="00C93CDB">
            <w:pPr>
              <w:pStyle w:val="NormalWeb"/>
              <w:spacing w:beforeLines="80" w:before="192" w:beforeAutospacing="0" w:afterLines="80" w:after="192" w:afterAutospacing="0"/>
              <w:jc w:val="both"/>
              <w:rPr>
                <w:rFonts w:asciiTheme="minorHAnsi" w:hAnsiTheme="minorHAnsi" w:cstheme="minorHAnsi"/>
                <w:b/>
                <w:bCs/>
                <w:sz w:val="18"/>
                <w:szCs w:val="18"/>
              </w:rPr>
            </w:pPr>
            <w:r w:rsidRPr="00FB363E">
              <w:rPr>
                <w:rFonts w:asciiTheme="minorHAnsi" w:hAnsiTheme="minorHAnsi" w:cstheme="minorHAnsi"/>
                <w:b/>
                <w:bCs/>
                <w:sz w:val="18"/>
                <w:szCs w:val="18"/>
              </w:rPr>
              <w:t xml:space="preserve">Loss of Confidence in Digital Assets.  </w:t>
            </w:r>
            <w:r w:rsidRPr="00FB363E">
              <w:rPr>
                <w:rFonts w:asciiTheme="minorHAnsi" w:hAnsiTheme="minorHAnsi" w:cstheme="minorHAnsi"/>
                <w:sz w:val="18"/>
                <w:szCs w:val="18"/>
              </w:rPr>
              <w:t>Digital assets are part of a new and rapidly evolving “digital assets industry”</w:t>
            </w:r>
            <w:r>
              <w:rPr>
                <w:rFonts w:asciiTheme="minorHAnsi" w:hAnsiTheme="minorHAnsi" w:cstheme="minorHAnsi"/>
                <w:sz w:val="18"/>
                <w:szCs w:val="18"/>
              </w:rPr>
              <w:t>,</w:t>
            </w:r>
            <w:r w:rsidRPr="00FB363E">
              <w:rPr>
                <w:rFonts w:asciiTheme="minorHAnsi" w:hAnsiTheme="minorHAnsi" w:cstheme="minorHAnsi"/>
                <w:sz w:val="18"/>
                <w:szCs w:val="18"/>
              </w:rPr>
              <w:t xml:space="preserve"> which is subject to a high degree of uncertainty</w:t>
            </w:r>
            <w:r>
              <w:rPr>
                <w:rFonts w:asciiTheme="minorHAnsi" w:hAnsiTheme="minorHAnsi" w:cstheme="minorHAnsi"/>
                <w:sz w:val="18"/>
                <w:szCs w:val="18"/>
              </w:rPr>
              <w:t xml:space="preserve"> and upon negative press may have</w:t>
            </w:r>
            <w:r w:rsidRPr="00FB363E">
              <w:rPr>
                <w:rFonts w:asciiTheme="minorHAnsi" w:hAnsiTheme="minorHAnsi" w:cstheme="minorHAnsi"/>
                <w:sz w:val="18"/>
                <w:szCs w:val="18"/>
              </w:rPr>
              <w:t xml:space="preserve"> an abrupt drop in value. </w:t>
            </w:r>
          </w:p>
        </w:tc>
        <w:tc>
          <w:tcPr>
            <w:tcW w:w="1440" w:type="dxa"/>
            <w:gridSpan w:val="2"/>
          </w:tcPr>
          <w:p w14:paraId="3D25F0CB" w14:textId="77777777" w:rsidR="00C93CDB" w:rsidRPr="00FB363E" w:rsidRDefault="00C93CDB" w:rsidP="00C93CDB">
            <w:pPr>
              <w:pStyle w:val="NormalWeb"/>
              <w:spacing w:beforeLines="80" w:before="192" w:beforeAutospacing="0" w:afterLines="80" w:after="192" w:afterAutospacing="0"/>
              <w:jc w:val="both"/>
              <w:rPr>
                <w:rFonts w:asciiTheme="minorHAnsi" w:hAnsiTheme="minorHAnsi" w:cstheme="minorHAnsi"/>
                <w:b/>
                <w:bCs/>
                <w:sz w:val="18"/>
                <w:szCs w:val="18"/>
              </w:rPr>
            </w:pPr>
          </w:p>
        </w:tc>
      </w:tr>
    </w:tbl>
    <w:p w14:paraId="31489AC0" w14:textId="77777777" w:rsidR="00DE5D1E" w:rsidRDefault="00DE5D1E"/>
    <w:p w14:paraId="7BCD9967" w14:textId="77777777" w:rsidR="00DE5D1E" w:rsidRDefault="00DE5D1E"/>
    <w:p w14:paraId="0E0D96BD" w14:textId="77777777" w:rsidR="00DE5D1E" w:rsidRDefault="00DE5D1E"/>
    <w:tbl>
      <w:tblPr>
        <w:tblStyle w:val="TableGrid"/>
        <w:tblW w:w="10705" w:type="dxa"/>
        <w:tblInd w:w="180" w:type="dxa"/>
        <w:tblLook w:val="04A0" w:firstRow="1" w:lastRow="0" w:firstColumn="1" w:lastColumn="0" w:noHBand="0" w:noVBand="1"/>
      </w:tblPr>
      <w:tblGrid>
        <w:gridCol w:w="9265"/>
        <w:gridCol w:w="1425"/>
        <w:gridCol w:w="15"/>
        <w:tblGridChange w:id="0">
          <w:tblGrid>
            <w:gridCol w:w="9265"/>
            <w:gridCol w:w="1425"/>
            <w:gridCol w:w="15"/>
          </w:tblGrid>
        </w:tblGridChange>
      </w:tblGrid>
      <w:tr w:rsidR="00BB31BD" w:rsidRPr="00FB363E" w14:paraId="1468F45A" w14:textId="77777777" w:rsidTr="00BB31BD">
        <w:trPr>
          <w:gridAfter w:val="1"/>
          <w:wAfter w:w="15" w:type="dxa"/>
        </w:trPr>
        <w:tc>
          <w:tcPr>
            <w:tcW w:w="9265" w:type="dxa"/>
            <w:shd w:val="clear" w:color="auto" w:fill="FFFDCE"/>
          </w:tcPr>
          <w:p w14:paraId="01C3F312" w14:textId="77777777" w:rsidR="00BB31BD" w:rsidRPr="00FB363E" w:rsidRDefault="00BB31BD" w:rsidP="00BB31BD">
            <w:pPr>
              <w:spacing w:beforeLines="80" w:before="192" w:afterLines="80" w:after="192"/>
              <w:rPr>
                <w:rFonts w:cstheme="minorHAnsi"/>
                <w:sz w:val="18"/>
                <w:szCs w:val="18"/>
              </w:rPr>
            </w:pPr>
            <w:r w:rsidRPr="00FB363E">
              <w:rPr>
                <w:rFonts w:cstheme="minorHAnsi"/>
                <w:b/>
                <w:bCs/>
                <w:sz w:val="18"/>
                <w:szCs w:val="18"/>
              </w:rPr>
              <w:t>ACKNOWLEDGEMENT OF GENERAL RISKS ASSOCIATED WITH</w:t>
            </w:r>
            <w:r>
              <w:rPr>
                <w:rFonts w:cstheme="minorHAnsi"/>
                <w:b/>
                <w:bCs/>
                <w:sz w:val="18"/>
                <w:szCs w:val="18"/>
              </w:rPr>
              <w:t xml:space="preserve"> CRYPTOCURRENCY &amp;</w:t>
            </w:r>
            <w:r w:rsidRPr="00FB363E">
              <w:rPr>
                <w:rFonts w:cstheme="minorHAnsi"/>
                <w:b/>
                <w:bCs/>
                <w:sz w:val="18"/>
                <w:szCs w:val="18"/>
              </w:rPr>
              <w:t xml:space="preserve"> DIGITAL ASSETS</w:t>
            </w:r>
            <w:r w:rsidRPr="002B05C6" w:rsidDel="00DE5D1E">
              <w:rPr>
                <w:rFonts w:cstheme="minorHAnsi"/>
                <w:b/>
                <w:bCs/>
                <w:sz w:val="18"/>
                <w:szCs w:val="18"/>
              </w:rPr>
              <w:t xml:space="preserve"> </w:t>
            </w:r>
          </w:p>
        </w:tc>
        <w:tc>
          <w:tcPr>
            <w:tcW w:w="1425" w:type="dxa"/>
            <w:shd w:val="clear" w:color="auto" w:fill="FFFDCE"/>
          </w:tcPr>
          <w:p w14:paraId="5550B628" w14:textId="77777777" w:rsidR="00BB31BD" w:rsidRPr="00FB363E" w:rsidRDefault="00BB31BD" w:rsidP="00BB31BD">
            <w:pPr>
              <w:spacing w:beforeLines="80" w:before="192" w:afterLines="80" w:after="192"/>
              <w:jc w:val="center"/>
              <w:rPr>
                <w:rFonts w:cstheme="minorHAnsi"/>
                <w:b/>
                <w:bCs/>
                <w:sz w:val="18"/>
                <w:szCs w:val="18"/>
              </w:rPr>
            </w:pPr>
            <w:r w:rsidRPr="00FB363E">
              <w:rPr>
                <w:rFonts w:cstheme="minorHAnsi"/>
                <w:b/>
                <w:bCs/>
                <w:sz w:val="18"/>
                <w:szCs w:val="18"/>
              </w:rPr>
              <w:t>Client Initials</w:t>
            </w:r>
          </w:p>
        </w:tc>
      </w:tr>
      <w:tr w:rsidR="00C93CDB" w:rsidRPr="00FB363E" w14:paraId="01DDD670" w14:textId="77777777" w:rsidTr="009B281D">
        <w:tc>
          <w:tcPr>
            <w:tcW w:w="9265" w:type="dxa"/>
          </w:tcPr>
          <w:p w14:paraId="42966BC4" w14:textId="17B956B4" w:rsidR="00C93CDB" w:rsidRPr="00FB363E" w:rsidRDefault="00C93CDB" w:rsidP="00C93CDB">
            <w:pPr>
              <w:pStyle w:val="NormalWeb"/>
              <w:spacing w:beforeLines="80" w:before="192" w:beforeAutospacing="0" w:afterLines="80" w:after="192" w:afterAutospacing="0"/>
              <w:jc w:val="both"/>
              <w:rPr>
                <w:rFonts w:asciiTheme="minorHAnsi" w:hAnsiTheme="minorHAnsi" w:cstheme="minorHAnsi"/>
                <w:b/>
                <w:bCs/>
                <w:sz w:val="18"/>
                <w:szCs w:val="18"/>
              </w:rPr>
            </w:pPr>
            <w:r w:rsidRPr="00FB363E">
              <w:rPr>
                <w:rFonts w:asciiTheme="minorHAnsi" w:hAnsiTheme="minorHAnsi" w:cstheme="minorHAnsi"/>
                <w:b/>
                <w:bCs/>
                <w:sz w:val="18"/>
                <w:szCs w:val="18"/>
              </w:rPr>
              <w:t xml:space="preserve">Regulatory Concerns Preventing or Restricting Trading of Digital </w:t>
            </w:r>
            <w:r w:rsidR="00AB50BB" w:rsidRPr="00FB363E">
              <w:rPr>
                <w:rFonts w:asciiTheme="minorHAnsi" w:hAnsiTheme="minorHAnsi" w:cstheme="minorHAnsi"/>
                <w:b/>
                <w:bCs/>
                <w:sz w:val="18"/>
                <w:szCs w:val="18"/>
              </w:rPr>
              <w:t>Asset.</w:t>
            </w:r>
            <w:r w:rsidRPr="00FB363E">
              <w:rPr>
                <w:rFonts w:asciiTheme="minorHAnsi" w:hAnsiTheme="minorHAnsi" w:cstheme="minorHAnsi"/>
                <w:sz w:val="18"/>
                <w:szCs w:val="18"/>
              </w:rPr>
              <w:t xml:space="preserve"> Regulatory actions could negatively impact digital assets in various ways</w:t>
            </w:r>
            <w:r>
              <w:rPr>
                <w:rFonts w:asciiTheme="minorHAnsi" w:hAnsiTheme="minorHAnsi" w:cstheme="minorHAnsi"/>
                <w:sz w:val="18"/>
                <w:szCs w:val="18"/>
              </w:rPr>
              <w:t xml:space="preserve">.  </w:t>
            </w:r>
            <w:r w:rsidRPr="00FB363E">
              <w:rPr>
                <w:rFonts w:asciiTheme="minorHAnsi" w:hAnsiTheme="minorHAnsi" w:cstheme="minorHAnsi"/>
                <w:sz w:val="18"/>
                <w:szCs w:val="18"/>
              </w:rPr>
              <w:t>There can be no assurance that digital assets in which we invest will not be adversely affected by increases in regulatory activity concerning particular digital assets or digital asset exchanges or trading platforms.</w:t>
            </w:r>
            <w:r>
              <w:rPr>
                <w:rFonts w:asciiTheme="minorHAnsi" w:hAnsiTheme="minorHAnsi" w:cstheme="minorHAnsi"/>
                <w:sz w:val="18"/>
                <w:szCs w:val="18"/>
              </w:rPr>
              <w:t xml:space="preserve"> </w:t>
            </w:r>
            <w:r w:rsidRPr="00FB363E">
              <w:rPr>
                <w:rFonts w:asciiTheme="minorHAnsi" w:hAnsiTheme="minorHAnsi" w:cstheme="minorHAnsi"/>
                <w:sz w:val="18"/>
                <w:szCs w:val="18"/>
              </w:rPr>
              <w:t>Regulators, including state, federal, or foreign regulators, a</w:t>
            </w:r>
            <w:r>
              <w:rPr>
                <w:rFonts w:asciiTheme="minorHAnsi" w:hAnsiTheme="minorHAnsi" w:cstheme="minorHAnsi"/>
                <w:sz w:val="18"/>
                <w:szCs w:val="18"/>
              </w:rPr>
              <w:t>nd</w:t>
            </w:r>
            <w:r w:rsidRPr="00FB363E">
              <w:rPr>
                <w:rFonts w:asciiTheme="minorHAnsi" w:hAnsiTheme="minorHAnsi" w:cstheme="minorHAnsi"/>
                <w:sz w:val="18"/>
                <w:szCs w:val="18"/>
              </w:rPr>
              <w:t xml:space="preserve"> state and federal agencies, may assert that a digital asset or digital asset trading is being conducted unlawfully under interpretations of existing law and may take action at any time to freeze or stop digital assets from being released or traded and</w:t>
            </w:r>
            <w:r>
              <w:rPr>
                <w:rFonts w:asciiTheme="minorHAnsi" w:hAnsiTheme="minorHAnsi" w:cstheme="minorHAnsi"/>
                <w:sz w:val="18"/>
                <w:szCs w:val="18"/>
              </w:rPr>
              <w:t xml:space="preserve">/or </w:t>
            </w:r>
            <w:r w:rsidRPr="00FB363E">
              <w:rPr>
                <w:rFonts w:asciiTheme="minorHAnsi" w:hAnsiTheme="minorHAnsi" w:cstheme="minorHAnsi"/>
                <w:sz w:val="18"/>
                <w:szCs w:val="18"/>
              </w:rPr>
              <w:t>regulators may assert criminal or civil claims against digital asset companies or digital asset trading participants, without</w:t>
            </w:r>
            <w:r>
              <w:rPr>
                <w:rFonts w:asciiTheme="minorHAnsi" w:hAnsiTheme="minorHAnsi" w:cstheme="minorHAnsi"/>
                <w:sz w:val="18"/>
                <w:szCs w:val="18"/>
              </w:rPr>
              <w:t xml:space="preserve"> prior</w:t>
            </w:r>
            <w:r w:rsidRPr="00FB363E">
              <w:rPr>
                <w:rFonts w:asciiTheme="minorHAnsi" w:hAnsiTheme="minorHAnsi" w:cstheme="minorHAnsi"/>
                <w:sz w:val="18"/>
                <w:szCs w:val="18"/>
              </w:rPr>
              <w:t xml:space="preserve"> notice. The basis for regulatory claims can include anti-money laundering or anti-terroris</w:t>
            </w:r>
            <w:r>
              <w:rPr>
                <w:rFonts w:asciiTheme="minorHAnsi" w:hAnsiTheme="minorHAnsi" w:cstheme="minorHAnsi"/>
                <w:sz w:val="18"/>
                <w:szCs w:val="18"/>
              </w:rPr>
              <w:t>m</w:t>
            </w:r>
            <w:r w:rsidRPr="00FB363E">
              <w:rPr>
                <w:rFonts w:asciiTheme="minorHAnsi" w:hAnsiTheme="minorHAnsi" w:cstheme="minorHAnsi"/>
                <w:sz w:val="18"/>
                <w:szCs w:val="18"/>
              </w:rPr>
              <w:t xml:space="preserve"> financing regimes. </w:t>
            </w:r>
          </w:p>
        </w:tc>
        <w:tc>
          <w:tcPr>
            <w:tcW w:w="1440" w:type="dxa"/>
            <w:gridSpan w:val="2"/>
          </w:tcPr>
          <w:p w14:paraId="1FB12648" w14:textId="77777777" w:rsidR="00C93CDB" w:rsidRPr="00FB363E" w:rsidRDefault="00C93CDB" w:rsidP="00C93CDB">
            <w:pPr>
              <w:pStyle w:val="NormalWeb"/>
              <w:spacing w:beforeLines="80" w:before="192" w:beforeAutospacing="0" w:afterLines="80" w:after="192" w:afterAutospacing="0"/>
              <w:jc w:val="both"/>
              <w:rPr>
                <w:rFonts w:asciiTheme="minorHAnsi" w:hAnsiTheme="minorHAnsi" w:cstheme="minorHAnsi"/>
                <w:b/>
                <w:bCs/>
                <w:sz w:val="18"/>
                <w:szCs w:val="18"/>
              </w:rPr>
            </w:pPr>
          </w:p>
        </w:tc>
      </w:tr>
      <w:tr w:rsidR="00490176" w:rsidRPr="00FB363E" w14:paraId="76BAA5FA" w14:textId="77777777" w:rsidTr="00490176">
        <w:tc>
          <w:tcPr>
            <w:tcW w:w="9265" w:type="dxa"/>
          </w:tcPr>
          <w:p w14:paraId="1A82DD4D" w14:textId="52AAB185" w:rsidR="00C93CDB" w:rsidRPr="00FB363E" w:rsidRDefault="00C93CDB" w:rsidP="00C93CDB">
            <w:pPr>
              <w:pStyle w:val="NormalWeb"/>
              <w:spacing w:beforeLines="80" w:before="192" w:beforeAutospacing="0" w:afterLines="80" w:after="192" w:afterAutospacing="0"/>
              <w:jc w:val="both"/>
              <w:rPr>
                <w:rFonts w:asciiTheme="minorHAnsi" w:hAnsiTheme="minorHAnsi" w:cstheme="minorHAnsi"/>
                <w:b/>
                <w:bCs/>
                <w:sz w:val="18"/>
                <w:szCs w:val="18"/>
              </w:rPr>
            </w:pPr>
            <w:r w:rsidRPr="00FB363E">
              <w:rPr>
                <w:rFonts w:asciiTheme="minorHAnsi" w:hAnsiTheme="minorHAnsi" w:cstheme="minorHAnsi"/>
                <w:b/>
                <w:bCs/>
                <w:sz w:val="18"/>
                <w:szCs w:val="18"/>
              </w:rPr>
              <w:t xml:space="preserve">Taxation of Digital Currencies.  </w:t>
            </w:r>
            <w:r w:rsidRPr="00FB363E">
              <w:rPr>
                <w:rFonts w:asciiTheme="minorHAnsi" w:hAnsiTheme="minorHAnsi" w:cstheme="minorHAnsi"/>
                <w:sz w:val="18"/>
                <w:szCs w:val="18"/>
              </w:rPr>
              <w:t xml:space="preserve">For investors in digital assets, it should be noted that there is substantial uncertainty with respect to the tax treatment of an investment in digital currencies. Digital assets may be considered assets in certain jurisdictions and currency in others. Sales or value-added taxes may be imposed on purchases and sales of digital assets. </w:t>
            </w:r>
            <w:r>
              <w:rPr>
                <w:rFonts w:asciiTheme="minorHAnsi" w:hAnsiTheme="minorHAnsi" w:cstheme="minorHAnsi"/>
                <w:sz w:val="18"/>
                <w:szCs w:val="18"/>
              </w:rPr>
              <w:t>Our Firm will not provide tax advice related to investments.</w:t>
            </w:r>
          </w:p>
        </w:tc>
        <w:tc>
          <w:tcPr>
            <w:tcW w:w="1440" w:type="dxa"/>
            <w:gridSpan w:val="2"/>
          </w:tcPr>
          <w:p w14:paraId="29708F97" w14:textId="77777777" w:rsidR="00C93CDB" w:rsidRPr="00FB363E" w:rsidRDefault="00C93CDB" w:rsidP="00C93CDB">
            <w:pPr>
              <w:pStyle w:val="NormalWeb"/>
              <w:spacing w:beforeLines="80" w:before="192" w:beforeAutospacing="0" w:afterLines="80" w:after="192" w:afterAutospacing="0"/>
              <w:jc w:val="both"/>
              <w:rPr>
                <w:rFonts w:asciiTheme="minorHAnsi" w:hAnsiTheme="minorHAnsi" w:cstheme="minorHAnsi"/>
                <w:b/>
                <w:bCs/>
                <w:sz w:val="18"/>
                <w:szCs w:val="18"/>
              </w:rPr>
            </w:pPr>
          </w:p>
        </w:tc>
      </w:tr>
      <w:tr w:rsidR="00490176" w:rsidRPr="00FB363E" w14:paraId="7825E36A" w14:textId="77777777" w:rsidTr="009B281D">
        <w:tc>
          <w:tcPr>
            <w:tcW w:w="9265" w:type="dxa"/>
          </w:tcPr>
          <w:p w14:paraId="07554255" w14:textId="7CADF4C4" w:rsidR="00C93CDB" w:rsidRPr="00FB363E" w:rsidRDefault="00C93CDB" w:rsidP="00C93CDB">
            <w:pPr>
              <w:pStyle w:val="NormalWeb"/>
              <w:spacing w:beforeLines="80" w:before="192" w:beforeAutospacing="0" w:afterLines="80" w:after="192" w:afterAutospacing="0"/>
              <w:jc w:val="both"/>
              <w:rPr>
                <w:rFonts w:asciiTheme="minorHAnsi" w:hAnsiTheme="minorHAnsi" w:cstheme="minorHAnsi"/>
                <w:b/>
                <w:bCs/>
                <w:sz w:val="18"/>
                <w:szCs w:val="18"/>
              </w:rPr>
            </w:pPr>
            <w:r w:rsidRPr="00FB363E">
              <w:rPr>
                <w:rFonts w:asciiTheme="minorHAnsi" w:hAnsiTheme="minorHAnsi" w:cstheme="minorHAnsi"/>
                <w:b/>
                <w:bCs/>
                <w:sz w:val="18"/>
                <w:szCs w:val="18"/>
              </w:rPr>
              <w:t xml:space="preserve">Technological Risks.  </w:t>
            </w:r>
            <w:r w:rsidRPr="00FB363E">
              <w:rPr>
                <w:rFonts w:asciiTheme="minorHAnsi" w:hAnsiTheme="minorHAnsi" w:cstheme="minorHAnsi"/>
                <w:sz w:val="18"/>
                <w:szCs w:val="18"/>
              </w:rPr>
              <w:t>Digital assets on a distributed ledger present unique cybersecurity risks relating to the physical security of the digital asset.</w:t>
            </w:r>
          </w:p>
        </w:tc>
        <w:tc>
          <w:tcPr>
            <w:tcW w:w="1440" w:type="dxa"/>
            <w:gridSpan w:val="2"/>
          </w:tcPr>
          <w:p w14:paraId="6CDE75F7" w14:textId="77777777" w:rsidR="00C93CDB" w:rsidRPr="00FB363E" w:rsidRDefault="00C93CDB" w:rsidP="00C93CDB">
            <w:pPr>
              <w:pStyle w:val="NormalWeb"/>
              <w:spacing w:beforeLines="80" w:before="192" w:beforeAutospacing="0" w:afterLines="80" w:after="192" w:afterAutospacing="0"/>
              <w:jc w:val="both"/>
              <w:rPr>
                <w:rFonts w:asciiTheme="minorHAnsi" w:hAnsiTheme="minorHAnsi" w:cstheme="minorHAnsi"/>
                <w:b/>
                <w:bCs/>
                <w:sz w:val="18"/>
                <w:szCs w:val="18"/>
              </w:rPr>
            </w:pPr>
          </w:p>
        </w:tc>
      </w:tr>
      <w:tr w:rsidR="00490176" w:rsidRPr="00FB363E" w14:paraId="03F21C45" w14:textId="77777777" w:rsidTr="009B281D">
        <w:tc>
          <w:tcPr>
            <w:tcW w:w="9265" w:type="dxa"/>
          </w:tcPr>
          <w:p w14:paraId="0ED1187C" w14:textId="322138C6" w:rsidR="00C93CDB" w:rsidRPr="00FB363E" w:rsidRDefault="00C93CDB" w:rsidP="00C93CDB">
            <w:pPr>
              <w:pStyle w:val="NormalWeb"/>
              <w:spacing w:beforeLines="80" w:before="192" w:beforeAutospacing="0" w:afterLines="80" w:after="192" w:afterAutospacing="0"/>
              <w:jc w:val="both"/>
              <w:rPr>
                <w:rFonts w:asciiTheme="minorHAnsi" w:hAnsiTheme="minorHAnsi" w:cstheme="minorHAnsi"/>
                <w:b/>
                <w:bCs/>
                <w:sz w:val="18"/>
                <w:szCs w:val="18"/>
              </w:rPr>
            </w:pPr>
            <w:r w:rsidRPr="00FB363E">
              <w:rPr>
                <w:rFonts w:asciiTheme="minorHAnsi" w:hAnsiTheme="minorHAnsi" w:cstheme="minorHAnsi"/>
                <w:b/>
                <w:bCs/>
                <w:sz w:val="18"/>
                <w:szCs w:val="18"/>
              </w:rPr>
              <w:t xml:space="preserve">Price Change Risk.  </w:t>
            </w:r>
            <w:r w:rsidRPr="00FB363E">
              <w:rPr>
                <w:rFonts w:asciiTheme="minorHAnsi" w:hAnsiTheme="minorHAnsi" w:cstheme="minorHAnsi"/>
                <w:sz w:val="18"/>
                <w:szCs w:val="18"/>
              </w:rPr>
              <w:t xml:space="preserve">The </w:t>
            </w:r>
            <w:r>
              <w:rPr>
                <w:rFonts w:asciiTheme="minorHAnsi" w:hAnsiTheme="minorHAnsi" w:cstheme="minorHAnsi"/>
                <w:sz w:val="18"/>
                <w:szCs w:val="18"/>
              </w:rPr>
              <w:t xml:space="preserve">market </w:t>
            </w:r>
            <w:r w:rsidRPr="00FB363E">
              <w:rPr>
                <w:rFonts w:asciiTheme="minorHAnsi" w:hAnsiTheme="minorHAnsi" w:cstheme="minorHAnsi"/>
                <w:sz w:val="18"/>
                <w:szCs w:val="18"/>
              </w:rPr>
              <w:t xml:space="preserve">price of digital assets </w:t>
            </w:r>
            <w:r>
              <w:rPr>
                <w:rFonts w:asciiTheme="minorHAnsi" w:hAnsiTheme="minorHAnsi" w:cstheme="minorHAnsi"/>
                <w:sz w:val="18"/>
                <w:szCs w:val="18"/>
              </w:rPr>
              <w:t>can be volatile</w:t>
            </w:r>
            <w:r w:rsidRPr="00FB363E">
              <w:rPr>
                <w:rFonts w:asciiTheme="minorHAnsi" w:hAnsiTheme="minorHAnsi" w:cstheme="minorHAnsi"/>
                <w:sz w:val="18"/>
                <w:szCs w:val="18"/>
              </w:rPr>
              <w:t xml:space="preserve">. Your digital asset balance could surge or drop suddenly. </w:t>
            </w:r>
            <w:r>
              <w:rPr>
                <w:rFonts w:asciiTheme="minorHAnsi" w:hAnsiTheme="minorHAnsi" w:cstheme="minorHAnsi"/>
                <w:sz w:val="18"/>
                <w:szCs w:val="18"/>
              </w:rPr>
              <w:t>There</w:t>
            </w:r>
            <w:r w:rsidRPr="00FB363E">
              <w:rPr>
                <w:rFonts w:asciiTheme="minorHAnsi" w:hAnsiTheme="minorHAnsi" w:cstheme="minorHAnsi"/>
                <w:sz w:val="18"/>
                <w:szCs w:val="18"/>
              </w:rPr>
              <w:t xml:space="preserve"> is a possibility that the price of any digital asset could </w:t>
            </w:r>
            <w:r>
              <w:rPr>
                <w:rFonts w:asciiTheme="minorHAnsi" w:hAnsiTheme="minorHAnsi" w:cstheme="minorHAnsi"/>
                <w:sz w:val="18"/>
                <w:szCs w:val="18"/>
              </w:rPr>
              <w:t>lose the entire value.</w:t>
            </w:r>
          </w:p>
        </w:tc>
        <w:tc>
          <w:tcPr>
            <w:tcW w:w="1440" w:type="dxa"/>
            <w:gridSpan w:val="2"/>
          </w:tcPr>
          <w:p w14:paraId="06A5065F" w14:textId="77777777" w:rsidR="00C93CDB" w:rsidRPr="00FB363E" w:rsidRDefault="00C93CDB" w:rsidP="00C93CDB">
            <w:pPr>
              <w:pStyle w:val="NormalWeb"/>
              <w:spacing w:beforeLines="80" w:before="192" w:beforeAutospacing="0" w:afterLines="80" w:after="192" w:afterAutospacing="0"/>
              <w:jc w:val="both"/>
              <w:rPr>
                <w:rFonts w:asciiTheme="minorHAnsi" w:hAnsiTheme="minorHAnsi" w:cstheme="minorHAnsi"/>
                <w:b/>
                <w:bCs/>
                <w:sz w:val="18"/>
                <w:szCs w:val="18"/>
              </w:rPr>
            </w:pPr>
          </w:p>
        </w:tc>
      </w:tr>
      <w:tr w:rsidR="00490176" w:rsidRPr="00FB363E" w14:paraId="65EA6EBC" w14:textId="77777777" w:rsidTr="009B281D">
        <w:tc>
          <w:tcPr>
            <w:tcW w:w="9265" w:type="dxa"/>
          </w:tcPr>
          <w:p w14:paraId="3F03341F" w14:textId="0A8DCDED" w:rsidR="00C93CDB" w:rsidRPr="00FB363E" w:rsidRDefault="00C93CDB" w:rsidP="00C93CDB">
            <w:pPr>
              <w:pStyle w:val="NormalWeb"/>
              <w:spacing w:beforeLines="80" w:before="192" w:beforeAutospacing="0" w:afterLines="80" w:after="192" w:afterAutospacing="0"/>
              <w:jc w:val="both"/>
              <w:rPr>
                <w:rFonts w:asciiTheme="minorHAnsi" w:hAnsiTheme="minorHAnsi" w:cstheme="minorHAnsi"/>
                <w:b/>
                <w:bCs/>
                <w:sz w:val="18"/>
                <w:szCs w:val="18"/>
              </w:rPr>
            </w:pPr>
            <w:r w:rsidRPr="00FB363E">
              <w:rPr>
                <w:rFonts w:asciiTheme="minorHAnsi" w:hAnsiTheme="minorHAnsi" w:cstheme="minorHAnsi"/>
                <w:b/>
                <w:bCs/>
                <w:sz w:val="18"/>
                <w:szCs w:val="18"/>
              </w:rPr>
              <w:t xml:space="preserve">Liquidity Risk.  </w:t>
            </w:r>
            <w:r w:rsidRPr="00FB363E">
              <w:rPr>
                <w:rFonts w:asciiTheme="minorHAnsi" w:hAnsiTheme="minorHAnsi" w:cstheme="minorHAnsi"/>
                <w:sz w:val="18"/>
                <w:szCs w:val="18"/>
              </w:rPr>
              <w:t xml:space="preserve">There is a possibility that trades cannot be settled, may be difficult to settle, or can be traded only at significantly adverse prices depending on the market situation and/or market volume. </w:t>
            </w:r>
          </w:p>
        </w:tc>
        <w:tc>
          <w:tcPr>
            <w:tcW w:w="1440" w:type="dxa"/>
            <w:gridSpan w:val="2"/>
          </w:tcPr>
          <w:p w14:paraId="78F36B31" w14:textId="77777777" w:rsidR="00C93CDB" w:rsidRPr="00FB363E" w:rsidRDefault="00C93CDB" w:rsidP="00C93CDB">
            <w:pPr>
              <w:pStyle w:val="NormalWeb"/>
              <w:spacing w:beforeLines="80" w:before="192" w:beforeAutospacing="0" w:afterLines="80" w:after="192" w:afterAutospacing="0"/>
              <w:jc w:val="both"/>
              <w:rPr>
                <w:rFonts w:asciiTheme="minorHAnsi" w:hAnsiTheme="minorHAnsi" w:cstheme="minorHAnsi"/>
                <w:b/>
                <w:bCs/>
                <w:sz w:val="18"/>
                <w:szCs w:val="18"/>
              </w:rPr>
            </w:pPr>
          </w:p>
        </w:tc>
      </w:tr>
      <w:tr w:rsidR="00490176" w:rsidRPr="00FB363E" w14:paraId="2060F38A" w14:textId="77777777" w:rsidTr="009B281D">
        <w:tc>
          <w:tcPr>
            <w:tcW w:w="9265" w:type="dxa"/>
          </w:tcPr>
          <w:p w14:paraId="7AFF7845" w14:textId="2FBED3C7" w:rsidR="00C93CDB" w:rsidRPr="00FB363E" w:rsidRDefault="00C93CDB" w:rsidP="00C93CDB">
            <w:pPr>
              <w:pStyle w:val="NormalWeb"/>
              <w:spacing w:beforeLines="80" w:before="192" w:beforeAutospacing="0" w:afterLines="80" w:after="192" w:afterAutospacing="0"/>
              <w:jc w:val="both"/>
              <w:rPr>
                <w:rFonts w:asciiTheme="minorHAnsi" w:hAnsiTheme="minorHAnsi" w:cstheme="minorHAnsi"/>
                <w:b/>
                <w:bCs/>
                <w:sz w:val="18"/>
                <w:szCs w:val="18"/>
              </w:rPr>
            </w:pPr>
            <w:r w:rsidRPr="00FB363E">
              <w:rPr>
                <w:rFonts w:asciiTheme="minorHAnsi" w:hAnsiTheme="minorHAnsi" w:cstheme="minorHAnsi"/>
                <w:b/>
                <w:bCs/>
                <w:sz w:val="18"/>
                <w:szCs w:val="18"/>
              </w:rPr>
              <w:t xml:space="preserve">Unanticipated Risks.  </w:t>
            </w:r>
            <w:r>
              <w:rPr>
                <w:rFonts w:asciiTheme="minorHAnsi" w:hAnsiTheme="minorHAnsi" w:cstheme="minorHAnsi"/>
                <w:sz w:val="18"/>
                <w:szCs w:val="18"/>
              </w:rPr>
              <w:t>D</w:t>
            </w:r>
            <w:r w:rsidRPr="00FB363E">
              <w:rPr>
                <w:rFonts w:asciiTheme="minorHAnsi" w:hAnsiTheme="minorHAnsi" w:cstheme="minorHAnsi"/>
                <w:sz w:val="18"/>
                <w:szCs w:val="18"/>
              </w:rPr>
              <w:t xml:space="preserve">igital assets are new and still largely untested. In addition to the risks outlined in this Brochure, there are other risks associated with the purchase of Digital assets that </w:t>
            </w:r>
            <w:r>
              <w:rPr>
                <w:rFonts w:asciiTheme="minorHAnsi" w:hAnsiTheme="minorHAnsi" w:cstheme="minorHAnsi"/>
                <w:sz w:val="18"/>
                <w:szCs w:val="18"/>
              </w:rPr>
              <w:t>are unforeseen.  Therefore, our Firm i</w:t>
            </w:r>
            <w:r w:rsidRPr="00FB363E">
              <w:rPr>
                <w:rFonts w:asciiTheme="minorHAnsi" w:hAnsiTheme="minorHAnsi" w:cstheme="minorHAnsi"/>
                <w:sz w:val="18"/>
                <w:szCs w:val="18"/>
              </w:rPr>
              <w:t>s unable to anticipate</w:t>
            </w:r>
            <w:r>
              <w:rPr>
                <w:rFonts w:asciiTheme="minorHAnsi" w:hAnsiTheme="minorHAnsi" w:cstheme="minorHAnsi"/>
                <w:sz w:val="18"/>
                <w:szCs w:val="18"/>
              </w:rPr>
              <w:t xml:space="preserve"> or advise on</w:t>
            </w:r>
            <w:r w:rsidRPr="00FB363E">
              <w:rPr>
                <w:rFonts w:asciiTheme="minorHAnsi" w:hAnsiTheme="minorHAnsi" w:cstheme="minorHAnsi"/>
                <w:sz w:val="18"/>
                <w:szCs w:val="18"/>
              </w:rPr>
              <w:t>. Such risks may further materialize as unanticipated variations or combinations of the risks discussed in this Brochure.</w:t>
            </w:r>
          </w:p>
        </w:tc>
        <w:tc>
          <w:tcPr>
            <w:tcW w:w="1440" w:type="dxa"/>
            <w:gridSpan w:val="2"/>
          </w:tcPr>
          <w:p w14:paraId="35B5F411" w14:textId="77777777" w:rsidR="00C93CDB" w:rsidRPr="00FB363E" w:rsidRDefault="00C93CDB" w:rsidP="00C93CDB">
            <w:pPr>
              <w:pStyle w:val="NormalWeb"/>
              <w:spacing w:beforeLines="80" w:before="192" w:beforeAutospacing="0" w:afterLines="80" w:after="192" w:afterAutospacing="0"/>
              <w:jc w:val="both"/>
              <w:rPr>
                <w:rFonts w:asciiTheme="minorHAnsi" w:hAnsiTheme="minorHAnsi" w:cstheme="minorHAnsi"/>
                <w:b/>
                <w:bCs/>
                <w:sz w:val="18"/>
                <w:szCs w:val="18"/>
              </w:rPr>
            </w:pPr>
          </w:p>
        </w:tc>
      </w:tr>
    </w:tbl>
    <w:p w14:paraId="4E93F8E7" w14:textId="77777777" w:rsidR="00520C23" w:rsidRDefault="00520C23" w:rsidP="00683449">
      <w:pPr>
        <w:jc w:val="both"/>
      </w:pPr>
    </w:p>
    <w:p w14:paraId="51EA27B9" w14:textId="77777777" w:rsidR="006021BE" w:rsidRPr="00FB363E" w:rsidRDefault="006021BE" w:rsidP="006021BE">
      <w:pPr>
        <w:pStyle w:val="BodyText"/>
        <w:spacing w:before="2"/>
        <w:ind w:left="180" w:right="80"/>
        <w:rPr>
          <w:rFonts w:asciiTheme="minorHAnsi" w:eastAsiaTheme="minorHAnsi" w:hAnsiTheme="minorHAnsi" w:cstheme="minorHAnsi"/>
          <w:sz w:val="18"/>
          <w:szCs w:val="18"/>
        </w:rPr>
      </w:pPr>
      <w:r w:rsidRPr="00FB363E">
        <w:rPr>
          <w:rFonts w:asciiTheme="minorHAnsi" w:eastAsiaTheme="minorHAnsi" w:hAnsiTheme="minorHAnsi" w:cstheme="minorHAnsi"/>
          <w:sz w:val="18"/>
          <w:szCs w:val="18"/>
        </w:rPr>
        <w:t>By signing below, you certify that you understand and accept the risks involved in investing in digital assets. Further, you acknowledge your ability to undertake this risk, including losing the full principal value.</w:t>
      </w:r>
    </w:p>
    <w:p w14:paraId="1F02CE88" w14:textId="77777777" w:rsidR="006021BE" w:rsidRPr="00FB363E" w:rsidRDefault="006021BE" w:rsidP="006021BE">
      <w:pPr>
        <w:pStyle w:val="BodyText"/>
        <w:spacing w:before="2"/>
        <w:rPr>
          <w:rFonts w:asciiTheme="minorHAnsi" w:hAnsiTheme="minorHAnsi" w:cstheme="minorHAnsi"/>
          <w:sz w:val="18"/>
          <w:szCs w:val="18"/>
        </w:rPr>
      </w:pPr>
    </w:p>
    <w:tbl>
      <w:tblPr>
        <w:tblW w:w="10751" w:type="dxa"/>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506"/>
        <w:gridCol w:w="5245"/>
      </w:tblGrid>
      <w:tr w:rsidR="006021BE" w:rsidRPr="00851773" w14:paraId="00C1A03F" w14:textId="77777777" w:rsidTr="00BB31BD">
        <w:trPr>
          <w:trHeight w:val="575"/>
        </w:trPr>
        <w:tc>
          <w:tcPr>
            <w:tcW w:w="10751" w:type="dxa"/>
            <w:gridSpan w:val="2"/>
            <w:shd w:val="clear" w:color="auto" w:fill="BFBFBF"/>
          </w:tcPr>
          <w:p w14:paraId="49BA0794" w14:textId="77777777" w:rsidR="006021BE" w:rsidRPr="00851773" w:rsidRDefault="006021BE" w:rsidP="00BB31BD">
            <w:pPr>
              <w:pStyle w:val="TableParagraph"/>
              <w:spacing w:before="152"/>
              <w:ind w:left="203"/>
              <w:rPr>
                <w:rFonts w:asciiTheme="minorHAnsi" w:hAnsiTheme="minorHAnsi" w:cstheme="minorHAnsi"/>
                <w:b/>
                <w:bCs/>
                <w:sz w:val="20"/>
                <w:szCs w:val="20"/>
              </w:rPr>
            </w:pPr>
            <w:r w:rsidRPr="00851773">
              <w:rPr>
                <w:rFonts w:asciiTheme="minorHAnsi" w:hAnsiTheme="minorHAnsi" w:cstheme="minorHAnsi"/>
                <w:b/>
                <w:bCs/>
                <w:sz w:val="20"/>
                <w:szCs w:val="20"/>
              </w:rPr>
              <w:t xml:space="preserve">ADVISOR </w:t>
            </w:r>
            <w:r w:rsidRPr="00851773">
              <w:rPr>
                <w:rFonts w:asciiTheme="minorHAnsi" w:hAnsiTheme="minorHAnsi" w:cstheme="minorHAnsi"/>
                <w:b/>
                <w:bCs/>
                <w:w w:val="125"/>
                <w:sz w:val="20"/>
                <w:szCs w:val="20"/>
              </w:rPr>
              <w:t xml:space="preserve">/ </w:t>
            </w:r>
            <w:r w:rsidRPr="00851773">
              <w:rPr>
                <w:rFonts w:asciiTheme="minorHAnsi" w:hAnsiTheme="minorHAnsi" w:cstheme="minorHAnsi"/>
                <w:b/>
                <w:bCs/>
                <w:sz w:val="20"/>
                <w:szCs w:val="20"/>
              </w:rPr>
              <w:t>CLIENT AGREEMENT:</w:t>
            </w:r>
          </w:p>
        </w:tc>
      </w:tr>
      <w:tr w:rsidR="006021BE" w:rsidRPr="00851773" w14:paraId="06804109" w14:textId="77777777" w:rsidTr="00BB31BD">
        <w:trPr>
          <w:trHeight w:val="864"/>
        </w:trPr>
        <w:tc>
          <w:tcPr>
            <w:tcW w:w="5506" w:type="dxa"/>
          </w:tcPr>
          <w:p w14:paraId="1F2D3E72" w14:textId="77777777" w:rsidR="006021BE" w:rsidRPr="00851773" w:rsidRDefault="006021BE" w:rsidP="00BB31BD">
            <w:pPr>
              <w:pStyle w:val="TableParagraph"/>
              <w:spacing w:before="28"/>
              <w:ind w:left="180"/>
              <w:rPr>
                <w:rFonts w:asciiTheme="minorHAnsi" w:hAnsiTheme="minorHAnsi" w:cstheme="minorHAnsi"/>
                <w:sz w:val="16"/>
                <w:szCs w:val="16"/>
              </w:rPr>
            </w:pPr>
            <w:r w:rsidRPr="00851773">
              <w:rPr>
                <w:rFonts w:asciiTheme="minorHAnsi" w:hAnsiTheme="minorHAnsi" w:cstheme="minorHAnsi"/>
                <w:color w:val="231F20"/>
                <w:sz w:val="16"/>
                <w:szCs w:val="16"/>
              </w:rPr>
              <w:t>Client Signature:</w:t>
            </w:r>
          </w:p>
        </w:tc>
        <w:tc>
          <w:tcPr>
            <w:tcW w:w="5245" w:type="dxa"/>
          </w:tcPr>
          <w:p w14:paraId="25C15FAD" w14:textId="705F309A" w:rsidR="006021BE" w:rsidRPr="00851773" w:rsidRDefault="00BB31BD" w:rsidP="00BB31BD">
            <w:pPr>
              <w:pStyle w:val="TableParagraph"/>
              <w:spacing w:before="22"/>
              <w:ind w:left="179"/>
              <w:rPr>
                <w:rFonts w:asciiTheme="minorHAnsi" w:hAnsiTheme="minorHAnsi" w:cstheme="minorHAnsi"/>
                <w:sz w:val="16"/>
                <w:szCs w:val="16"/>
              </w:rPr>
            </w:pPr>
            <w:r w:rsidRPr="00851773">
              <w:rPr>
                <w:rFonts w:asciiTheme="minorHAnsi" w:hAnsiTheme="minorHAnsi" w:cstheme="minorHAnsi"/>
                <w:color w:val="231F20"/>
                <w:sz w:val="16"/>
                <w:szCs w:val="16"/>
              </w:rPr>
              <w:t>Second Client Signature:</w:t>
            </w:r>
          </w:p>
        </w:tc>
      </w:tr>
      <w:tr w:rsidR="006021BE" w:rsidRPr="00851773" w14:paraId="6F61FC9E" w14:textId="77777777" w:rsidTr="00BB31BD">
        <w:trPr>
          <w:trHeight w:val="864"/>
        </w:trPr>
        <w:tc>
          <w:tcPr>
            <w:tcW w:w="5506" w:type="dxa"/>
          </w:tcPr>
          <w:p w14:paraId="014BB58D" w14:textId="352F3DB6" w:rsidR="006021BE" w:rsidRPr="00851773" w:rsidRDefault="00BB31BD" w:rsidP="00BB31BD">
            <w:pPr>
              <w:pStyle w:val="TableParagraph"/>
              <w:spacing w:before="21"/>
              <w:ind w:left="180"/>
              <w:rPr>
                <w:rFonts w:asciiTheme="minorHAnsi" w:hAnsiTheme="minorHAnsi" w:cstheme="minorHAnsi"/>
                <w:sz w:val="16"/>
                <w:szCs w:val="16"/>
              </w:rPr>
            </w:pPr>
            <w:r w:rsidRPr="00851773">
              <w:rPr>
                <w:rFonts w:asciiTheme="minorHAnsi" w:hAnsiTheme="minorHAnsi" w:cstheme="minorHAnsi"/>
                <w:color w:val="231F20"/>
                <w:sz w:val="16"/>
                <w:szCs w:val="16"/>
              </w:rPr>
              <w:t>IAR Signature:</w:t>
            </w:r>
          </w:p>
        </w:tc>
        <w:tc>
          <w:tcPr>
            <w:tcW w:w="5245" w:type="dxa"/>
          </w:tcPr>
          <w:p w14:paraId="508091B0" w14:textId="77777777" w:rsidR="006021BE" w:rsidRPr="00851773" w:rsidRDefault="006021BE" w:rsidP="00BB31BD">
            <w:pPr>
              <w:pStyle w:val="TableParagraph"/>
              <w:spacing w:before="21"/>
              <w:ind w:left="179"/>
              <w:rPr>
                <w:rFonts w:asciiTheme="minorHAnsi" w:hAnsiTheme="minorHAnsi" w:cstheme="minorHAnsi"/>
                <w:sz w:val="16"/>
                <w:szCs w:val="16"/>
              </w:rPr>
            </w:pPr>
            <w:r w:rsidRPr="00851773">
              <w:rPr>
                <w:rFonts w:asciiTheme="minorHAnsi" w:hAnsiTheme="minorHAnsi" w:cstheme="minorHAnsi"/>
                <w:color w:val="231F20"/>
                <w:sz w:val="16"/>
                <w:szCs w:val="16"/>
              </w:rPr>
              <w:t>Date:</w:t>
            </w:r>
          </w:p>
        </w:tc>
      </w:tr>
    </w:tbl>
    <w:p w14:paraId="1D2527C5" w14:textId="77777777" w:rsidR="006021BE" w:rsidRPr="00FB363E" w:rsidRDefault="006021BE" w:rsidP="006021BE">
      <w:pPr>
        <w:rPr>
          <w:rFonts w:cstheme="minorHAnsi"/>
          <w:sz w:val="18"/>
          <w:szCs w:val="18"/>
        </w:rPr>
      </w:pPr>
    </w:p>
    <w:p w14:paraId="35737979" w14:textId="77777777" w:rsidR="006021BE" w:rsidRPr="00FB363E" w:rsidRDefault="006021BE" w:rsidP="006021BE">
      <w:pPr>
        <w:rPr>
          <w:rFonts w:cstheme="minorHAnsi"/>
          <w:sz w:val="18"/>
          <w:szCs w:val="18"/>
        </w:rPr>
      </w:pPr>
    </w:p>
    <w:tbl>
      <w:tblPr>
        <w:tblW w:w="10751" w:type="dxa"/>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506"/>
        <w:gridCol w:w="5245"/>
      </w:tblGrid>
      <w:tr w:rsidR="002D1442" w:rsidRPr="00851773" w14:paraId="777FFA46" w14:textId="77777777" w:rsidTr="00BB31BD">
        <w:trPr>
          <w:trHeight w:val="575"/>
        </w:trPr>
        <w:tc>
          <w:tcPr>
            <w:tcW w:w="10751" w:type="dxa"/>
            <w:gridSpan w:val="2"/>
            <w:shd w:val="clear" w:color="auto" w:fill="BFBFBF"/>
          </w:tcPr>
          <w:p w14:paraId="7A610815" w14:textId="48CB7C74" w:rsidR="002D1442" w:rsidRPr="00851773" w:rsidRDefault="002D1442" w:rsidP="00BB31BD">
            <w:pPr>
              <w:pStyle w:val="TableParagraph"/>
              <w:spacing w:before="152"/>
              <w:ind w:left="203"/>
              <w:rPr>
                <w:rFonts w:asciiTheme="minorHAnsi" w:hAnsiTheme="minorHAnsi" w:cstheme="minorHAnsi"/>
                <w:b/>
                <w:bCs/>
                <w:sz w:val="20"/>
                <w:szCs w:val="20"/>
              </w:rPr>
            </w:pPr>
            <w:r>
              <w:rPr>
                <w:rFonts w:asciiTheme="minorHAnsi" w:hAnsiTheme="minorHAnsi" w:cstheme="minorHAnsi"/>
                <w:b/>
                <w:bCs/>
                <w:sz w:val="20"/>
                <w:szCs w:val="20"/>
              </w:rPr>
              <w:t>CCO REVIEW</w:t>
            </w:r>
            <w:r w:rsidRPr="00851773">
              <w:rPr>
                <w:rFonts w:asciiTheme="minorHAnsi" w:hAnsiTheme="minorHAnsi" w:cstheme="minorHAnsi"/>
                <w:b/>
                <w:bCs/>
                <w:sz w:val="20"/>
                <w:szCs w:val="20"/>
              </w:rPr>
              <w:t>:</w:t>
            </w:r>
          </w:p>
        </w:tc>
      </w:tr>
      <w:tr w:rsidR="002D1442" w:rsidRPr="00851773" w14:paraId="697FE6EA" w14:textId="77777777" w:rsidTr="00BB31BD">
        <w:trPr>
          <w:trHeight w:val="864"/>
        </w:trPr>
        <w:tc>
          <w:tcPr>
            <w:tcW w:w="5506" w:type="dxa"/>
          </w:tcPr>
          <w:p w14:paraId="0573C396" w14:textId="5D44E7E4" w:rsidR="002D1442" w:rsidRPr="00851773" w:rsidRDefault="00BB31BD" w:rsidP="00BB31BD">
            <w:pPr>
              <w:pStyle w:val="TableParagraph"/>
              <w:spacing w:before="21"/>
              <w:ind w:left="180"/>
              <w:rPr>
                <w:rFonts w:asciiTheme="minorHAnsi" w:hAnsiTheme="minorHAnsi" w:cstheme="minorHAnsi"/>
                <w:sz w:val="16"/>
                <w:szCs w:val="16"/>
              </w:rPr>
            </w:pPr>
            <w:r>
              <w:rPr>
                <w:rFonts w:asciiTheme="minorHAnsi" w:hAnsiTheme="minorHAnsi" w:cstheme="minorHAnsi"/>
                <w:color w:val="231F20"/>
                <w:sz w:val="16"/>
                <w:szCs w:val="16"/>
              </w:rPr>
              <w:t>CCO</w:t>
            </w:r>
            <w:r w:rsidR="002D1442" w:rsidRPr="00851773">
              <w:rPr>
                <w:rFonts w:asciiTheme="minorHAnsi" w:hAnsiTheme="minorHAnsi" w:cstheme="minorHAnsi"/>
                <w:color w:val="231F20"/>
                <w:sz w:val="16"/>
                <w:szCs w:val="16"/>
              </w:rPr>
              <w:t xml:space="preserve"> Signature:</w:t>
            </w:r>
          </w:p>
        </w:tc>
        <w:tc>
          <w:tcPr>
            <w:tcW w:w="5245" w:type="dxa"/>
          </w:tcPr>
          <w:p w14:paraId="4522F78E" w14:textId="77777777" w:rsidR="002D1442" w:rsidRPr="00851773" w:rsidRDefault="002D1442" w:rsidP="00BB31BD">
            <w:pPr>
              <w:pStyle w:val="TableParagraph"/>
              <w:spacing w:before="21"/>
              <w:ind w:left="179"/>
              <w:rPr>
                <w:rFonts w:asciiTheme="minorHAnsi" w:hAnsiTheme="minorHAnsi" w:cstheme="minorHAnsi"/>
                <w:sz w:val="16"/>
                <w:szCs w:val="16"/>
              </w:rPr>
            </w:pPr>
            <w:r w:rsidRPr="00851773">
              <w:rPr>
                <w:rFonts w:asciiTheme="minorHAnsi" w:hAnsiTheme="minorHAnsi" w:cstheme="minorHAnsi"/>
                <w:color w:val="231F20"/>
                <w:sz w:val="16"/>
                <w:szCs w:val="16"/>
              </w:rPr>
              <w:t>Date:</w:t>
            </w:r>
          </w:p>
        </w:tc>
      </w:tr>
    </w:tbl>
    <w:p w14:paraId="2A07E6AF" w14:textId="77777777" w:rsidR="006021BE" w:rsidRPr="00FB363E" w:rsidRDefault="006021BE" w:rsidP="006021BE">
      <w:pPr>
        <w:rPr>
          <w:rFonts w:cstheme="minorHAnsi"/>
          <w:sz w:val="18"/>
          <w:szCs w:val="18"/>
        </w:rPr>
      </w:pPr>
    </w:p>
    <w:p w14:paraId="0C29853E" w14:textId="77777777" w:rsidR="006021BE" w:rsidRPr="00FB363E" w:rsidRDefault="006021BE" w:rsidP="006021BE">
      <w:pPr>
        <w:rPr>
          <w:rFonts w:cstheme="minorHAnsi"/>
          <w:sz w:val="18"/>
          <w:szCs w:val="18"/>
        </w:rPr>
      </w:pPr>
    </w:p>
    <w:p w14:paraId="167611D5" w14:textId="77777777" w:rsidR="006021BE" w:rsidRDefault="006021BE" w:rsidP="00683449">
      <w:pPr>
        <w:jc w:val="both"/>
      </w:pPr>
    </w:p>
    <w:p w14:paraId="0F38F79D" w14:textId="77777777" w:rsidR="00DD2E90" w:rsidRDefault="00DD2E90" w:rsidP="00683449">
      <w:pPr>
        <w:jc w:val="both"/>
      </w:pPr>
    </w:p>
    <w:p w14:paraId="0FB80383" w14:textId="197C635C" w:rsidR="00DB65F9" w:rsidRPr="00FB363E" w:rsidRDefault="00DB65F9" w:rsidP="002023AC">
      <w:pPr>
        <w:rPr>
          <w:rFonts w:cstheme="minorHAnsi"/>
          <w:sz w:val="18"/>
          <w:szCs w:val="18"/>
        </w:rPr>
      </w:pPr>
    </w:p>
    <w:sectPr w:rsidR="00DB65F9" w:rsidRPr="00FB363E" w:rsidSect="009B281D">
      <w:type w:val="continuous"/>
      <w:pgSz w:w="12240" w:h="15840"/>
      <w:pgMar w:top="1177" w:right="7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F11B9"/>
    <w:multiLevelType w:val="hybridMultilevel"/>
    <w:tmpl w:val="212272DA"/>
    <w:lvl w:ilvl="0" w:tplc="F4646C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469BB"/>
    <w:multiLevelType w:val="multilevel"/>
    <w:tmpl w:val="12DA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29116D"/>
    <w:multiLevelType w:val="multilevel"/>
    <w:tmpl w:val="4BD0B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C474B3"/>
    <w:multiLevelType w:val="hybridMultilevel"/>
    <w:tmpl w:val="B5DC4074"/>
    <w:lvl w:ilvl="0" w:tplc="56FC8734">
      <w:start w:val="1"/>
      <w:numFmt w:val="bullet"/>
      <w:pStyle w:val="BulletBold"/>
      <w:lvlText w:val=""/>
      <w:lvlJc w:val="left"/>
      <w:pPr>
        <w:ind w:left="900" w:hanging="360"/>
      </w:pPr>
      <w:rPr>
        <w:rFonts w:ascii="Wingdings" w:hAnsi="Wingdings" w:hint="default"/>
        <w:color w:val="000000" w:themeColor="text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72020E2B"/>
    <w:multiLevelType w:val="hybridMultilevel"/>
    <w:tmpl w:val="8BA24A20"/>
    <w:lvl w:ilvl="0" w:tplc="3626D856">
      <w:numFmt w:val="bullet"/>
      <w:lvlText w:val="•"/>
      <w:lvlJc w:val="left"/>
      <w:pPr>
        <w:ind w:left="690" w:hanging="181"/>
      </w:pPr>
      <w:rPr>
        <w:rFonts w:ascii="Arial" w:eastAsia="Arial" w:hAnsi="Arial" w:cs="Arial" w:hint="default"/>
        <w:color w:val="231F20"/>
        <w:w w:val="131"/>
        <w:sz w:val="20"/>
        <w:szCs w:val="20"/>
      </w:rPr>
    </w:lvl>
    <w:lvl w:ilvl="1" w:tplc="F1D6620A">
      <w:numFmt w:val="bullet"/>
      <w:lvlText w:val="•"/>
      <w:lvlJc w:val="left"/>
      <w:pPr>
        <w:ind w:left="1718" w:hanging="181"/>
      </w:pPr>
      <w:rPr>
        <w:rFonts w:hint="default"/>
      </w:rPr>
    </w:lvl>
    <w:lvl w:ilvl="2" w:tplc="A964CBD0">
      <w:numFmt w:val="bullet"/>
      <w:lvlText w:val="•"/>
      <w:lvlJc w:val="left"/>
      <w:pPr>
        <w:ind w:left="2736" w:hanging="181"/>
      </w:pPr>
      <w:rPr>
        <w:rFonts w:hint="default"/>
      </w:rPr>
    </w:lvl>
    <w:lvl w:ilvl="3" w:tplc="8CFE95A0">
      <w:numFmt w:val="bullet"/>
      <w:lvlText w:val="•"/>
      <w:lvlJc w:val="left"/>
      <w:pPr>
        <w:ind w:left="3754" w:hanging="181"/>
      </w:pPr>
      <w:rPr>
        <w:rFonts w:hint="default"/>
      </w:rPr>
    </w:lvl>
    <w:lvl w:ilvl="4" w:tplc="80BABED0">
      <w:numFmt w:val="bullet"/>
      <w:lvlText w:val="•"/>
      <w:lvlJc w:val="left"/>
      <w:pPr>
        <w:ind w:left="4772" w:hanging="181"/>
      </w:pPr>
      <w:rPr>
        <w:rFonts w:hint="default"/>
      </w:rPr>
    </w:lvl>
    <w:lvl w:ilvl="5" w:tplc="E5267E72">
      <w:numFmt w:val="bullet"/>
      <w:lvlText w:val="•"/>
      <w:lvlJc w:val="left"/>
      <w:pPr>
        <w:ind w:left="5790" w:hanging="181"/>
      </w:pPr>
      <w:rPr>
        <w:rFonts w:hint="default"/>
      </w:rPr>
    </w:lvl>
    <w:lvl w:ilvl="6" w:tplc="691CEDA4">
      <w:numFmt w:val="bullet"/>
      <w:lvlText w:val="•"/>
      <w:lvlJc w:val="left"/>
      <w:pPr>
        <w:ind w:left="6808" w:hanging="181"/>
      </w:pPr>
      <w:rPr>
        <w:rFonts w:hint="default"/>
      </w:rPr>
    </w:lvl>
    <w:lvl w:ilvl="7" w:tplc="35F43E64">
      <w:numFmt w:val="bullet"/>
      <w:lvlText w:val="•"/>
      <w:lvlJc w:val="left"/>
      <w:pPr>
        <w:ind w:left="7826" w:hanging="181"/>
      </w:pPr>
      <w:rPr>
        <w:rFonts w:hint="default"/>
      </w:rPr>
    </w:lvl>
    <w:lvl w:ilvl="8" w:tplc="CB949D36">
      <w:numFmt w:val="bullet"/>
      <w:lvlText w:val="•"/>
      <w:lvlJc w:val="left"/>
      <w:pPr>
        <w:ind w:left="8844" w:hanging="181"/>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F9"/>
    <w:rsid w:val="00015EC4"/>
    <w:rsid w:val="00025C9D"/>
    <w:rsid w:val="00032CCB"/>
    <w:rsid w:val="00035D50"/>
    <w:rsid w:val="00042909"/>
    <w:rsid w:val="00061ABE"/>
    <w:rsid w:val="00062CEF"/>
    <w:rsid w:val="000A1ED6"/>
    <w:rsid w:val="000A2BF5"/>
    <w:rsid w:val="000B253C"/>
    <w:rsid w:val="000C06B3"/>
    <w:rsid w:val="000D62C4"/>
    <w:rsid w:val="000F12D4"/>
    <w:rsid w:val="00123915"/>
    <w:rsid w:val="00123F0D"/>
    <w:rsid w:val="0012580B"/>
    <w:rsid w:val="00133368"/>
    <w:rsid w:val="00142712"/>
    <w:rsid w:val="001450B7"/>
    <w:rsid w:val="00145EDA"/>
    <w:rsid w:val="00164463"/>
    <w:rsid w:val="00166976"/>
    <w:rsid w:val="001677B3"/>
    <w:rsid w:val="00171BE2"/>
    <w:rsid w:val="00190B30"/>
    <w:rsid w:val="001A4C1B"/>
    <w:rsid w:val="001B0968"/>
    <w:rsid w:val="001B328C"/>
    <w:rsid w:val="001D38AB"/>
    <w:rsid w:val="001E1800"/>
    <w:rsid w:val="001E51A3"/>
    <w:rsid w:val="002023AC"/>
    <w:rsid w:val="002735CF"/>
    <w:rsid w:val="00273F15"/>
    <w:rsid w:val="002829A4"/>
    <w:rsid w:val="00286B09"/>
    <w:rsid w:val="002B05C6"/>
    <w:rsid w:val="002C159F"/>
    <w:rsid w:val="002D1442"/>
    <w:rsid w:val="002D3C8E"/>
    <w:rsid w:val="002D446A"/>
    <w:rsid w:val="002D6D1E"/>
    <w:rsid w:val="002E25A2"/>
    <w:rsid w:val="002F00F5"/>
    <w:rsid w:val="002F1A95"/>
    <w:rsid w:val="002F2D39"/>
    <w:rsid w:val="002F5520"/>
    <w:rsid w:val="00326FB6"/>
    <w:rsid w:val="00335B67"/>
    <w:rsid w:val="00344260"/>
    <w:rsid w:val="00360A0E"/>
    <w:rsid w:val="003616E3"/>
    <w:rsid w:val="0038544D"/>
    <w:rsid w:val="00396503"/>
    <w:rsid w:val="003A7B2D"/>
    <w:rsid w:val="003D0BC6"/>
    <w:rsid w:val="003D11A3"/>
    <w:rsid w:val="003E299B"/>
    <w:rsid w:val="003E2A92"/>
    <w:rsid w:val="00402DFB"/>
    <w:rsid w:val="0041598A"/>
    <w:rsid w:val="0042020D"/>
    <w:rsid w:val="00427687"/>
    <w:rsid w:val="004511F6"/>
    <w:rsid w:val="004525B1"/>
    <w:rsid w:val="00454FBA"/>
    <w:rsid w:val="00456B15"/>
    <w:rsid w:val="00490176"/>
    <w:rsid w:val="0049018D"/>
    <w:rsid w:val="0049209E"/>
    <w:rsid w:val="004B7E4A"/>
    <w:rsid w:val="004C717E"/>
    <w:rsid w:val="004D647F"/>
    <w:rsid w:val="004F7139"/>
    <w:rsid w:val="00503A36"/>
    <w:rsid w:val="00506D1C"/>
    <w:rsid w:val="00520C23"/>
    <w:rsid w:val="00551AEA"/>
    <w:rsid w:val="00572827"/>
    <w:rsid w:val="00577A4C"/>
    <w:rsid w:val="005852F7"/>
    <w:rsid w:val="00585310"/>
    <w:rsid w:val="005B16A3"/>
    <w:rsid w:val="005C6967"/>
    <w:rsid w:val="006021BE"/>
    <w:rsid w:val="0060553C"/>
    <w:rsid w:val="00613738"/>
    <w:rsid w:val="00621417"/>
    <w:rsid w:val="006238F5"/>
    <w:rsid w:val="00623A3F"/>
    <w:rsid w:val="00633BEA"/>
    <w:rsid w:val="00647C1C"/>
    <w:rsid w:val="006511DE"/>
    <w:rsid w:val="006520E1"/>
    <w:rsid w:val="0066104A"/>
    <w:rsid w:val="00661647"/>
    <w:rsid w:val="00661A96"/>
    <w:rsid w:val="006733BA"/>
    <w:rsid w:val="00676205"/>
    <w:rsid w:val="00683449"/>
    <w:rsid w:val="00693B23"/>
    <w:rsid w:val="006B0242"/>
    <w:rsid w:val="006C6CBA"/>
    <w:rsid w:val="006D31B4"/>
    <w:rsid w:val="00700F55"/>
    <w:rsid w:val="00742BFE"/>
    <w:rsid w:val="00743CFD"/>
    <w:rsid w:val="00743F84"/>
    <w:rsid w:val="00745A64"/>
    <w:rsid w:val="00756449"/>
    <w:rsid w:val="00767AC3"/>
    <w:rsid w:val="0077367B"/>
    <w:rsid w:val="00785DCD"/>
    <w:rsid w:val="00785FDF"/>
    <w:rsid w:val="0078659B"/>
    <w:rsid w:val="00793C1C"/>
    <w:rsid w:val="007B0013"/>
    <w:rsid w:val="007B00FF"/>
    <w:rsid w:val="007B260C"/>
    <w:rsid w:val="007B466F"/>
    <w:rsid w:val="007B4D54"/>
    <w:rsid w:val="007D6A20"/>
    <w:rsid w:val="007E11CD"/>
    <w:rsid w:val="007E2DB3"/>
    <w:rsid w:val="007F2C88"/>
    <w:rsid w:val="00813B5B"/>
    <w:rsid w:val="00840AC4"/>
    <w:rsid w:val="008467DE"/>
    <w:rsid w:val="008469CF"/>
    <w:rsid w:val="00846B1E"/>
    <w:rsid w:val="00851773"/>
    <w:rsid w:val="00883A87"/>
    <w:rsid w:val="0088484B"/>
    <w:rsid w:val="00887CE4"/>
    <w:rsid w:val="008955D8"/>
    <w:rsid w:val="008B2160"/>
    <w:rsid w:val="008B39DF"/>
    <w:rsid w:val="008D323B"/>
    <w:rsid w:val="008E38DB"/>
    <w:rsid w:val="008E73DE"/>
    <w:rsid w:val="00922860"/>
    <w:rsid w:val="009605CD"/>
    <w:rsid w:val="00960676"/>
    <w:rsid w:val="00964263"/>
    <w:rsid w:val="00966B47"/>
    <w:rsid w:val="00967BBA"/>
    <w:rsid w:val="009A1F09"/>
    <w:rsid w:val="009A3FC5"/>
    <w:rsid w:val="009B281D"/>
    <w:rsid w:val="009C1609"/>
    <w:rsid w:val="009D1604"/>
    <w:rsid w:val="009D4FFC"/>
    <w:rsid w:val="00A114AC"/>
    <w:rsid w:val="00A23BB5"/>
    <w:rsid w:val="00A33B09"/>
    <w:rsid w:val="00A55325"/>
    <w:rsid w:val="00A6380C"/>
    <w:rsid w:val="00A655AD"/>
    <w:rsid w:val="00A71152"/>
    <w:rsid w:val="00A74C50"/>
    <w:rsid w:val="00A76315"/>
    <w:rsid w:val="00AA4CC0"/>
    <w:rsid w:val="00AB2C5E"/>
    <w:rsid w:val="00AB50BB"/>
    <w:rsid w:val="00AD2148"/>
    <w:rsid w:val="00AE0902"/>
    <w:rsid w:val="00AE466B"/>
    <w:rsid w:val="00AE7A91"/>
    <w:rsid w:val="00AE7C41"/>
    <w:rsid w:val="00B416C7"/>
    <w:rsid w:val="00B43115"/>
    <w:rsid w:val="00B5552F"/>
    <w:rsid w:val="00B711CF"/>
    <w:rsid w:val="00B7323A"/>
    <w:rsid w:val="00BB0D73"/>
    <w:rsid w:val="00BB31BD"/>
    <w:rsid w:val="00BC2B23"/>
    <w:rsid w:val="00BC5971"/>
    <w:rsid w:val="00BE160B"/>
    <w:rsid w:val="00BF46C9"/>
    <w:rsid w:val="00C07335"/>
    <w:rsid w:val="00C47A14"/>
    <w:rsid w:val="00C6163D"/>
    <w:rsid w:val="00C61AA0"/>
    <w:rsid w:val="00C63FA0"/>
    <w:rsid w:val="00C64647"/>
    <w:rsid w:val="00C748DD"/>
    <w:rsid w:val="00C8084E"/>
    <w:rsid w:val="00C843B0"/>
    <w:rsid w:val="00C93CDB"/>
    <w:rsid w:val="00C96AB9"/>
    <w:rsid w:val="00CB065F"/>
    <w:rsid w:val="00CC0157"/>
    <w:rsid w:val="00CC3F86"/>
    <w:rsid w:val="00CE3B33"/>
    <w:rsid w:val="00CE41C1"/>
    <w:rsid w:val="00CE5D6C"/>
    <w:rsid w:val="00D17C06"/>
    <w:rsid w:val="00D22BC6"/>
    <w:rsid w:val="00D26330"/>
    <w:rsid w:val="00D44E05"/>
    <w:rsid w:val="00D57BC2"/>
    <w:rsid w:val="00D62BFA"/>
    <w:rsid w:val="00D82361"/>
    <w:rsid w:val="00D87D15"/>
    <w:rsid w:val="00D90CE1"/>
    <w:rsid w:val="00DA4EA7"/>
    <w:rsid w:val="00DB3F88"/>
    <w:rsid w:val="00DB65F9"/>
    <w:rsid w:val="00DD2E90"/>
    <w:rsid w:val="00DE4F3C"/>
    <w:rsid w:val="00DE5D1E"/>
    <w:rsid w:val="00E038EF"/>
    <w:rsid w:val="00E329D7"/>
    <w:rsid w:val="00E34DC4"/>
    <w:rsid w:val="00E41FDE"/>
    <w:rsid w:val="00E71AC9"/>
    <w:rsid w:val="00E81112"/>
    <w:rsid w:val="00E924C9"/>
    <w:rsid w:val="00EA2DB8"/>
    <w:rsid w:val="00ED3F90"/>
    <w:rsid w:val="00EE1C3C"/>
    <w:rsid w:val="00EF3969"/>
    <w:rsid w:val="00F05C22"/>
    <w:rsid w:val="00F13503"/>
    <w:rsid w:val="00F2127C"/>
    <w:rsid w:val="00F375D8"/>
    <w:rsid w:val="00F4016C"/>
    <w:rsid w:val="00F47AC8"/>
    <w:rsid w:val="00F5750B"/>
    <w:rsid w:val="00F657A6"/>
    <w:rsid w:val="00F66B6F"/>
    <w:rsid w:val="00F7033C"/>
    <w:rsid w:val="00F71B83"/>
    <w:rsid w:val="00F75B60"/>
    <w:rsid w:val="00FB2CF3"/>
    <w:rsid w:val="00FB363E"/>
    <w:rsid w:val="00FD2F60"/>
    <w:rsid w:val="00FE3FF6"/>
    <w:rsid w:val="00FF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6C56"/>
  <w15:docId w15:val="{28AA6452-FCBD-4B73-8D0D-119CC685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Unicode MS" w:eastAsia="Arial Unicode MS" w:hAnsi="Arial Unicode MS" w:cs="Arial Unicode MS"/>
      <w:sz w:val="20"/>
      <w:szCs w:val="20"/>
    </w:rPr>
  </w:style>
  <w:style w:type="paragraph" w:styleId="ListParagraph">
    <w:name w:val="List Paragraph"/>
    <w:basedOn w:val="Normal"/>
    <w:uiPriority w:val="1"/>
    <w:qFormat/>
    <w:pPr>
      <w:spacing w:before="47"/>
      <w:ind w:left="690" w:hanging="180"/>
    </w:pPr>
    <w:rPr>
      <w:rFonts w:ascii="Arial Unicode MS" w:eastAsia="Arial Unicode MS" w:hAnsi="Arial Unicode MS" w:cs="Arial Unicode MS"/>
    </w:rPr>
  </w:style>
  <w:style w:type="paragraph" w:customStyle="1" w:styleId="TableParagraph">
    <w:name w:val="Table Paragraph"/>
    <w:basedOn w:val="Normal"/>
    <w:uiPriority w:val="1"/>
    <w:qFormat/>
    <w:pPr>
      <w:spacing w:before="166"/>
      <w:ind w:left="184"/>
    </w:pPr>
    <w:rPr>
      <w:rFonts w:ascii="Helvetica" w:eastAsia="Helvetica" w:hAnsi="Helvetica" w:cs="Helvetica"/>
    </w:rPr>
  </w:style>
  <w:style w:type="character" w:styleId="Hyperlink">
    <w:name w:val="Hyperlink"/>
    <w:basedOn w:val="DefaultParagraphFont"/>
    <w:uiPriority w:val="99"/>
    <w:unhideWhenUsed/>
    <w:rsid w:val="00793C1C"/>
    <w:rPr>
      <w:color w:val="0000FF" w:themeColor="hyperlink"/>
      <w:u w:val="single"/>
    </w:rPr>
  </w:style>
  <w:style w:type="paragraph" w:customStyle="1" w:styleId="BulletBold">
    <w:name w:val="Bullet Bold"/>
    <w:basedOn w:val="Normal"/>
    <w:rsid w:val="00793C1C"/>
    <w:pPr>
      <w:numPr>
        <w:numId w:val="2"/>
      </w:numPr>
    </w:pPr>
  </w:style>
  <w:style w:type="character" w:styleId="UnresolvedMention">
    <w:name w:val="Unresolved Mention"/>
    <w:basedOn w:val="DefaultParagraphFont"/>
    <w:uiPriority w:val="99"/>
    <w:semiHidden/>
    <w:unhideWhenUsed/>
    <w:rsid w:val="002023AC"/>
    <w:rPr>
      <w:color w:val="605E5C"/>
      <w:shd w:val="clear" w:color="auto" w:fill="E1DFDD"/>
    </w:rPr>
  </w:style>
  <w:style w:type="paragraph" w:styleId="NormalWeb">
    <w:name w:val="Normal (Web)"/>
    <w:basedOn w:val="Normal"/>
    <w:uiPriority w:val="99"/>
    <w:unhideWhenUsed/>
    <w:rsid w:val="00745A64"/>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396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750B"/>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9785">
      <w:bodyDiv w:val="1"/>
      <w:marLeft w:val="0"/>
      <w:marRight w:val="0"/>
      <w:marTop w:val="0"/>
      <w:marBottom w:val="0"/>
      <w:divBdr>
        <w:top w:val="none" w:sz="0" w:space="0" w:color="auto"/>
        <w:left w:val="none" w:sz="0" w:space="0" w:color="auto"/>
        <w:bottom w:val="none" w:sz="0" w:space="0" w:color="auto"/>
        <w:right w:val="none" w:sz="0" w:space="0" w:color="auto"/>
      </w:divBdr>
      <w:divsChild>
        <w:div w:id="609363790">
          <w:marLeft w:val="0"/>
          <w:marRight w:val="0"/>
          <w:marTop w:val="0"/>
          <w:marBottom w:val="0"/>
          <w:divBdr>
            <w:top w:val="none" w:sz="0" w:space="0" w:color="auto"/>
            <w:left w:val="none" w:sz="0" w:space="0" w:color="auto"/>
            <w:bottom w:val="none" w:sz="0" w:space="0" w:color="auto"/>
            <w:right w:val="none" w:sz="0" w:space="0" w:color="auto"/>
          </w:divBdr>
          <w:divsChild>
            <w:div w:id="444078643">
              <w:marLeft w:val="0"/>
              <w:marRight w:val="0"/>
              <w:marTop w:val="0"/>
              <w:marBottom w:val="0"/>
              <w:divBdr>
                <w:top w:val="none" w:sz="0" w:space="0" w:color="auto"/>
                <w:left w:val="none" w:sz="0" w:space="0" w:color="auto"/>
                <w:bottom w:val="none" w:sz="0" w:space="0" w:color="auto"/>
                <w:right w:val="none" w:sz="0" w:space="0" w:color="auto"/>
              </w:divBdr>
              <w:divsChild>
                <w:div w:id="12814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4900">
      <w:bodyDiv w:val="1"/>
      <w:marLeft w:val="0"/>
      <w:marRight w:val="0"/>
      <w:marTop w:val="0"/>
      <w:marBottom w:val="0"/>
      <w:divBdr>
        <w:top w:val="none" w:sz="0" w:space="0" w:color="auto"/>
        <w:left w:val="none" w:sz="0" w:space="0" w:color="auto"/>
        <w:bottom w:val="none" w:sz="0" w:space="0" w:color="auto"/>
        <w:right w:val="none" w:sz="0" w:space="0" w:color="auto"/>
      </w:divBdr>
      <w:divsChild>
        <w:div w:id="619268121">
          <w:marLeft w:val="0"/>
          <w:marRight w:val="0"/>
          <w:marTop w:val="0"/>
          <w:marBottom w:val="0"/>
          <w:divBdr>
            <w:top w:val="none" w:sz="0" w:space="0" w:color="auto"/>
            <w:left w:val="none" w:sz="0" w:space="0" w:color="auto"/>
            <w:bottom w:val="none" w:sz="0" w:space="0" w:color="auto"/>
            <w:right w:val="none" w:sz="0" w:space="0" w:color="auto"/>
          </w:divBdr>
          <w:divsChild>
            <w:div w:id="1576743810">
              <w:marLeft w:val="0"/>
              <w:marRight w:val="0"/>
              <w:marTop w:val="0"/>
              <w:marBottom w:val="0"/>
              <w:divBdr>
                <w:top w:val="none" w:sz="0" w:space="0" w:color="auto"/>
                <w:left w:val="none" w:sz="0" w:space="0" w:color="auto"/>
                <w:bottom w:val="none" w:sz="0" w:space="0" w:color="auto"/>
                <w:right w:val="none" w:sz="0" w:space="0" w:color="auto"/>
              </w:divBdr>
              <w:divsChild>
                <w:div w:id="1171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2425">
      <w:bodyDiv w:val="1"/>
      <w:marLeft w:val="0"/>
      <w:marRight w:val="0"/>
      <w:marTop w:val="0"/>
      <w:marBottom w:val="0"/>
      <w:divBdr>
        <w:top w:val="none" w:sz="0" w:space="0" w:color="auto"/>
        <w:left w:val="none" w:sz="0" w:space="0" w:color="auto"/>
        <w:bottom w:val="none" w:sz="0" w:space="0" w:color="auto"/>
        <w:right w:val="none" w:sz="0" w:space="0" w:color="auto"/>
      </w:divBdr>
      <w:divsChild>
        <w:div w:id="449513609">
          <w:marLeft w:val="0"/>
          <w:marRight w:val="0"/>
          <w:marTop w:val="0"/>
          <w:marBottom w:val="0"/>
          <w:divBdr>
            <w:top w:val="none" w:sz="0" w:space="0" w:color="auto"/>
            <w:left w:val="none" w:sz="0" w:space="0" w:color="auto"/>
            <w:bottom w:val="none" w:sz="0" w:space="0" w:color="auto"/>
            <w:right w:val="none" w:sz="0" w:space="0" w:color="auto"/>
          </w:divBdr>
          <w:divsChild>
            <w:div w:id="1672752218">
              <w:marLeft w:val="0"/>
              <w:marRight w:val="0"/>
              <w:marTop w:val="0"/>
              <w:marBottom w:val="0"/>
              <w:divBdr>
                <w:top w:val="none" w:sz="0" w:space="0" w:color="auto"/>
                <w:left w:val="none" w:sz="0" w:space="0" w:color="auto"/>
                <w:bottom w:val="none" w:sz="0" w:space="0" w:color="auto"/>
                <w:right w:val="none" w:sz="0" w:space="0" w:color="auto"/>
              </w:divBdr>
              <w:divsChild>
                <w:div w:id="14411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1627">
      <w:bodyDiv w:val="1"/>
      <w:marLeft w:val="0"/>
      <w:marRight w:val="0"/>
      <w:marTop w:val="0"/>
      <w:marBottom w:val="0"/>
      <w:divBdr>
        <w:top w:val="none" w:sz="0" w:space="0" w:color="auto"/>
        <w:left w:val="none" w:sz="0" w:space="0" w:color="auto"/>
        <w:bottom w:val="none" w:sz="0" w:space="0" w:color="auto"/>
        <w:right w:val="none" w:sz="0" w:space="0" w:color="auto"/>
      </w:divBdr>
      <w:divsChild>
        <w:div w:id="689725177">
          <w:marLeft w:val="0"/>
          <w:marRight w:val="0"/>
          <w:marTop w:val="0"/>
          <w:marBottom w:val="0"/>
          <w:divBdr>
            <w:top w:val="none" w:sz="0" w:space="0" w:color="auto"/>
            <w:left w:val="none" w:sz="0" w:space="0" w:color="auto"/>
            <w:bottom w:val="none" w:sz="0" w:space="0" w:color="auto"/>
            <w:right w:val="none" w:sz="0" w:space="0" w:color="auto"/>
          </w:divBdr>
          <w:divsChild>
            <w:div w:id="1257902559">
              <w:marLeft w:val="0"/>
              <w:marRight w:val="0"/>
              <w:marTop w:val="0"/>
              <w:marBottom w:val="0"/>
              <w:divBdr>
                <w:top w:val="none" w:sz="0" w:space="0" w:color="auto"/>
                <w:left w:val="none" w:sz="0" w:space="0" w:color="auto"/>
                <w:bottom w:val="none" w:sz="0" w:space="0" w:color="auto"/>
                <w:right w:val="none" w:sz="0" w:space="0" w:color="auto"/>
              </w:divBdr>
              <w:divsChild>
                <w:div w:id="10370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148">
      <w:bodyDiv w:val="1"/>
      <w:marLeft w:val="0"/>
      <w:marRight w:val="0"/>
      <w:marTop w:val="0"/>
      <w:marBottom w:val="0"/>
      <w:divBdr>
        <w:top w:val="none" w:sz="0" w:space="0" w:color="auto"/>
        <w:left w:val="none" w:sz="0" w:space="0" w:color="auto"/>
        <w:bottom w:val="none" w:sz="0" w:space="0" w:color="auto"/>
        <w:right w:val="none" w:sz="0" w:space="0" w:color="auto"/>
      </w:divBdr>
      <w:divsChild>
        <w:div w:id="488791584">
          <w:marLeft w:val="0"/>
          <w:marRight w:val="0"/>
          <w:marTop w:val="0"/>
          <w:marBottom w:val="0"/>
          <w:divBdr>
            <w:top w:val="none" w:sz="0" w:space="0" w:color="auto"/>
            <w:left w:val="none" w:sz="0" w:space="0" w:color="auto"/>
            <w:bottom w:val="none" w:sz="0" w:space="0" w:color="auto"/>
            <w:right w:val="none" w:sz="0" w:space="0" w:color="auto"/>
          </w:divBdr>
          <w:divsChild>
            <w:div w:id="465509872">
              <w:marLeft w:val="0"/>
              <w:marRight w:val="0"/>
              <w:marTop w:val="0"/>
              <w:marBottom w:val="0"/>
              <w:divBdr>
                <w:top w:val="none" w:sz="0" w:space="0" w:color="auto"/>
                <w:left w:val="none" w:sz="0" w:space="0" w:color="auto"/>
                <w:bottom w:val="none" w:sz="0" w:space="0" w:color="auto"/>
                <w:right w:val="none" w:sz="0" w:space="0" w:color="auto"/>
              </w:divBdr>
              <w:divsChild>
                <w:div w:id="4182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47291">
      <w:bodyDiv w:val="1"/>
      <w:marLeft w:val="0"/>
      <w:marRight w:val="0"/>
      <w:marTop w:val="0"/>
      <w:marBottom w:val="0"/>
      <w:divBdr>
        <w:top w:val="none" w:sz="0" w:space="0" w:color="auto"/>
        <w:left w:val="none" w:sz="0" w:space="0" w:color="auto"/>
        <w:bottom w:val="none" w:sz="0" w:space="0" w:color="auto"/>
        <w:right w:val="none" w:sz="0" w:space="0" w:color="auto"/>
      </w:divBdr>
      <w:divsChild>
        <w:div w:id="176503359">
          <w:marLeft w:val="0"/>
          <w:marRight w:val="0"/>
          <w:marTop w:val="0"/>
          <w:marBottom w:val="0"/>
          <w:divBdr>
            <w:top w:val="none" w:sz="0" w:space="0" w:color="auto"/>
            <w:left w:val="none" w:sz="0" w:space="0" w:color="auto"/>
            <w:bottom w:val="none" w:sz="0" w:space="0" w:color="auto"/>
            <w:right w:val="none" w:sz="0" w:space="0" w:color="auto"/>
          </w:divBdr>
          <w:divsChild>
            <w:div w:id="905913110">
              <w:marLeft w:val="0"/>
              <w:marRight w:val="0"/>
              <w:marTop w:val="0"/>
              <w:marBottom w:val="0"/>
              <w:divBdr>
                <w:top w:val="none" w:sz="0" w:space="0" w:color="auto"/>
                <w:left w:val="none" w:sz="0" w:space="0" w:color="auto"/>
                <w:bottom w:val="none" w:sz="0" w:space="0" w:color="auto"/>
                <w:right w:val="none" w:sz="0" w:space="0" w:color="auto"/>
              </w:divBdr>
              <w:divsChild>
                <w:div w:id="7576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39542">
      <w:bodyDiv w:val="1"/>
      <w:marLeft w:val="0"/>
      <w:marRight w:val="0"/>
      <w:marTop w:val="0"/>
      <w:marBottom w:val="0"/>
      <w:divBdr>
        <w:top w:val="none" w:sz="0" w:space="0" w:color="auto"/>
        <w:left w:val="none" w:sz="0" w:space="0" w:color="auto"/>
        <w:bottom w:val="none" w:sz="0" w:space="0" w:color="auto"/>
        <w:right w:val="none" w:sz="0" w:space="0" w:color="auto"/>
      </w:divBdr>
      <w:divsChild>
        <w:div w:id="247157330">
          <w:marLeft w:val="0"/>
          <w:marRight w:val="0"/>
          <w:marTop w:val="0"/>
          <w:marBottom w:val="0"/>
          <w:divBdr>
            <w:top w:val="none" w:sz="0" w:space="0" w:color="auto"/>
            <w:left w:val="none" w:sz="0" w:space="0" w:color="auto"/>
            <w:bottom w:val="none" w:sz="0" w:space="0" w:color="auto"/>
            <w:right w:val="none" w:sz="0" w:space="0" w:color="auto"/>
          </w:divBdr>
          <w:divsChild>
            <w:div w:id="2027976566">
              <w:marLeft w:val="0"/>
              <w:marRight w:val="0"/>
              <w:marTop w:val="0"/>
              <w:marBottom w:val="0"/>
              <w:divBdr>
                <w:top w:val="none" w:sz="0" w:space="0" w:color="auto"/>
                <w:left w:val="none" w:sz="0" w:space="0" w:color="auto"/>
                <w:bottom w:val="none" w:sz="0" w:space="0" w:color="auto"/>
                <w:right w:val="none" w:sz="0" w:space="0" w:color="auto"/>
              </w:divBdr>
              <w:divsChild>
                <w:div w:id="19785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4869">
      <w:bodyDiv w:val="1"/>
      <w:marLeft w:val="0"/>
      <w:marRight w:val="0"/>
      <w:marTop w:val="0"/>
      <w:marBottom w:val="0"/>
      <w:divBdr>
        <w:top w:val="none" w:sz="0" w:space="0" w:color="auto"/>
        <w:left w:val="none" w:sz="0" w:space="0" w:color="auto"/>
        <w:bottom w:val="none" w:sz="0" w:space="0" w:color="auto"/>
        <w:right w:val="none" w:sz="0" w:space="0" w:color="auto"/>
      </w:divBdr>
      <w:divsChild>
        <w:div w:id="636566354">
          <w:marLeft w:val="0"/>
          <w:marRight w:val="0"/>
          <w:marTop w:val="0"/>
          <w:marBottom w:val="0"/>
          <w:divBdr>
            <w:top w:val="none" w:sz="0" w:space="0" w:color="auto"/>
            <w:left w:val="none" w:sz="0" w:space="0" w:color="auto"/>
            <w:bottom w:val="none" w:sz="0" w:space="0" w:color="auto"/>
            <w:right w:val="none" w:sz="0" w:space="0" w:color="auto"/>
          </w:divBdr>
          <w:divsChild>
            <w:div w:id="2086412681">
              <w:marLeft w:val="0"/>
              <w:marRight w:val="0"/>
              <w:marTop w:val="0"/>
              <w:marBottom w:val="0"/>
              <w:divBdr>
                <w:top w:val="none" w:sz="0" w:space="0" w:color="auto"/>
                <w:left w:val="none" w:sz="0" w:space="0" w:color="auto"/>
                <w:bottom w:val="none" w:sz="0" w:space="0" w:color="auto"/>
                <w:right w:val="none" w:sz="0" w:space="0" w:color="auto"/>
              </w:divBdr>
              <w:divsChild>
                <w:div w:id="4783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5585">
      <w:bodyDiv w:val="1"/>
      <w:marLeft w:val="0"/>
      <w:marRight w:val="0"/>
      <w:marTop w:val="0"/>
      <w:marBottom w:val="0"/>
      <w:divBdr>
        <w:top w:val="none" w:sz="0" w:space="0" w:color="auto"/>
        <w:left w:val="none" w:sz="0" w:space="0" w:color="auto"/>
        <w:bottom w:val="none" w:sz="0" w:space="0" w:color="auto"/>
        <w:right w:val="none" w:sz="0" w:space="0" w:color="auto"/>
      </w:divBdr>
      <w:divsChild>
        <w:div w:id="1611861903">
          <w:marLeft w:val="0"/>
          <w:marRight w:val="0"/>
          <w:marTop w:val="0"/>
          <w:marBottom w:val="0"/>
          <w:divBdr>
            <w:top w:val="none" w:sz="0" w:space="0" w:color="auto"/>
            <w:left w:val="none" w:sz="0" w:space="0" w:color="auto"/>
            <w:bottom w:val="none" w:sz="0" w:space="0" w:color="auto"/>
            <w:right w:val="none" w:sz="0" w:space="0" w:color="auto"/>
          </w:divBdr>
          <w:divsChild>
            <w:div w:id="1774478502">
              <w:marLeft w:val="0"/>
              <w:marRight w:val="0"/>
              <w:marTop w:val="0"/>
              <w:marBottom w:val="0"/>
              <w:divBdr>
                <w:top w:val="none" w:sz="0" w:space="0" w:color="auto"/>
                <w:left w:val="none" w:sz="0" w:space="0" w:color="auto"/>
                <w:bottom w:val="none" w:sz="0" w:space="0" w:color="auto"/>
                <w:right w:val="none" w:sz="0" w:space="0" w:color="auto"/>
              </w:divBdr>
              <w:divsChild>
                <w:div w:id="3233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8525">
      <w:bodyDiv w:val="1"/>
      <w:marLeft w:val="0"/>
      <w:marRight w:val="0"/>
      <w:marTop w:val="0"/>
      <w:marBottom w:val="0"/>
      <w:divBdr>
        <w:top w:val="none" w:sz="0" w:space="0" w:color="auto"/>
        <w:left w:val="none" w:sz="0" w:space="0" w:color="auto"/>
        <w:bottom w:val="none" w:sz="0" w:space="0" w:color="auto"/>
        <w:right w:val="none" w:sz="0" w:space="0" w:color="auto"/>
      </w:divBdr>
      <w:divsChild>
        <w:div w:id="478618012">
          <w:marLeft w:val="0"/>
          <w:marRight w:val="0"/>
          <w:marTop w:val="0"/>
          <w:marBottom w:val="0"/>
          <w:divBdr>
            <w:top w:val="none" w:sz="0" w:space="0" w:color="auto"/>
            <w:left w:val="none" w:sz="0" w:space="0" w:color="auto"/>
            <w:bottom w:val="none" w:sz="0" w:space="0" w:color="auto"/>
            <w:right w:val="none" w:sz="0" w:space="0" w:color="auto"/>
          </w:divBdr>
          <w:divsChild>
            <w:div w:id="360395126">
              <w:marLeft w:val="0"/>
              <w:marRight w:val="0"/>
              <w:marTop w:val="0"/>
              <w:marBottom w:val="0"/>
              <w:divBdr>
                <w:top w:val="none" w:sz="0" w:space="0" w:color="auto"/>
                <w:left w:val="none" w:sz="0" w:space="0" w:color="auto"/>
                <w:bottom w:val="none" w:sz="0" w:space="0" w:color="auto"/>
                <w:right w:val="none" w:sz="0" w:space="0" w:color="auto"/>
              </w:divBdr>
              <w:divsChild>
                <w:div w:id="19750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36565">
      <w:bodyDiv w:val="1"/>
      <w:marLeft w:val="0"/>
      <w:marRight w:val="0"/>
      <w:marTop w:val="0"/>
      <w:marBottom w:val="0"/>
      <w:divBdr>
        <w:top w:val="none" w:sz="0" w:space="0" w:color="auto"/>
        <w:left w:val="none" w:sz="0" w:space="0" w:color="auto"/>
        <w:bottom w:val="none" w:sz="0" w:space="0" w:color="auto"/>
        <w:right w:val="none" w:sz="0" w:space="0" w:color="auto"/>
      </w:divBdr>
      <w:divsChild>
        <w:div w:id="447628022">
          <w:marLeft w:val="0"/>
          <w:marRight w:val="0"/>
          <w:marTop w:val="0"/>
          <w:marBottom w:val="0"/>
          <w:divBdr>
            <w:top w:val="none" w:sz="0" w:space="0" w:color="auto"/>
            <w:left w:val="none" w:sz="0" w:space="0" w:color="auto"/>
            <w:bottom w:val="none" w:sz="0" w:space="0" w:color="auto"/>
            <w:right w:val="none" w:sz="0" w:space="0" w:color="auto"/>
          </w:divBdr>
          <w:divsChild>
            <w:div w:id="784469681">
              <w:marLeft w:val="0"/>
              <w:marRight w:val="0"/>
              <w:marTop w:val="0"/>
              <w:marBottom w:val="0"/>
              <w:divBdr>
                <w:top w:val="none" w:sz="0" w:space="0" w:color="auto"/>
                <w:left w:val="none" w:sz="0" w:space="0" w:color="auto"/>
                <w:bottom w:val="none" w:sz="0" w:space="0" w:color="auto"/>
                <w:right w:val="none" w:sz="0" w:space="0" w:color="auto"/>
              </w:divBdr>
              <w:divsChild>
                <w:div w:id="17112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6011">
      <w:bodyDiv w:val="1"/>
      <w:marLeft w:val="0"/>
      <w:marRight w:val="0"/>
      <w:marTop w:val="0"/>
      <w:marBottom w:val="0"/>
      <w:divBdr>
        <w:top w:val="none" w:sz="0" w:space="0" w:color="auto"/>
        <w:left w:val="none" w:sz="0" w:space="0" w:color="auto"/>
        <w:bottom w:val="none" w:sz="0" w:space="0" w:color="auto"/>
        <w:right w:val="none" w:sz="0" w:space="0" w:color="auto"/>
      </w:divBdr>
      <w:divsChild>
        <w:div w:id="1706365823">
          <w:marLeft w:val="0"/>
          <w:marRight w:val="0"/>
          <w:marTop w:val="0"/>
          <w:marBottom w:val="0"/>
          <w:divBdr>
            <w:top w:val="none" w:sz="0" w:space="0" w:color="auto"/>
            <w:left w:val="none" w:sz="0" w:space="0" w:color="auto"/>
            <w:bottom w:val="none" w:sz="0" w:space="0" w:color="auto"/>
            <w:right w:val="none" w:sz="0" w:space="0" w:color="auto"/>
          </w:divBdr>
          <w:divsChild>
            <w:div w:id="1671757947">
              <w:marLeft w:val="0"/>
              <w:marRight w:val="0"/>
              <w:marTop w:val="0"/>
              <w:marBottom w:val="0"/>
              <w:divBdr>
                <w:top w:val="none" w:sz="0" w:space="0" w:color="auto"/>
                <w:left w:val="none" w:sz="0" w:space="0" w:color="auto"/>
                <w:bottom w:val="none" w:sz="0" w:space="0" w:color="auto"/>
                <w:right w:val="none" w:sz="0" w:space="0" w:color="auto"/>
              </w:divBdr>
              <w:divsChild>
                <w:div w:id="11699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45378">
      <w:bodyDiv w:val="1"/>
      <w:marLeft w:val="0"/>
      <w:marRight w:val="0"/>
      <w:marTop w:val="0"/>
      <w:marBottom w:val="0"/>
      <w:divBdr>
        <w:top w:val="none" w:sz="0" w:space="0" w:color="auto"/>
        <w:left w:val="none" w:sz="0" w:space="0" w:color="auto"/>
        <w:bottom w:val="none" w:sz="0" w:space="0" w:color="auto"/>
        <w:right w:val="none" w:sz="0" w:space="0" w:color="auto"/>
      </w:divBdr>
      <w:divsChild>
        <w:div w:id="1202205242">
          <w:marLeft w:val="0"/>
          <w:marRight w:val="0"/>
          <w:marTop w:val="0"/>
          <w:marBottom w:val="0"/>
          <w:divBdr>
            <w:top w:val="none" w:sz="0" w:space="0" w:color="auto"/>
            <w:left w:val="none" w:sz="0" w:space="0" w:color="auto"/>
            <w:bottom w:val="none" w:sz="0" w:space="0" w:color="auto"/>
            <w:right w:val="none" w:sz="0" w:space="0" w:color="auto"/>
          </w:divBdr>
          <w:divsChild>
            <w:div w:id="1118255593">
              <w:marLeft w:val="0"/>
              <w:marRight w:val="0"/>
              <w:marTop w:val="0"/>
              <w:marBottom w:val="0"/>
              <w:divBdr>
                <w:top w:val="none" w:sz="0" w:space="0" w:color="auto"/>
                <w:left w:val="none" w:sz="0" w:space="0" w:color="auto"/>
                <w:bottom w:val="none" w:sz="0" w:space="0" w:color="auto"/>
                <w:right w:val="none" w:sz="0" w:space="0" w:color="auto"/>
              </w:divBdr>
              <w:divsChild>
                <w:div w:id="569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1097</TotalTime>
  <Pages>1</Pages>
  <Words>946</Words>
  <Characters>5394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dc:creator>
  <cp:keywords/>
  <dc:description/>
  <cp:lastModifiedBy>Stacie Craddock</cp:lastModifiedBy>
  <cp:revision>180</cp:revision>
  <dcterms:created xsi:type="dcterms:W3CDTF">2022-02-02T00:08:00Z</dcterms:created>
  <dcterms:modified xsi:type="dcterms:W3CDTF">2022-02-02T19:56:00Z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2015-03-24T10:00:00Z</vt:filetime>
  </property>
  <property fmtid="{D5CDD505-2E9C-101B-9397-08002B2CF9AE}" pid="3" name="Creator">
    <vt:lpwstr>PScript5.dll Version 5.2.2</vt:lpwstr>
  </property>
  <property fmtid="{D5CDD505-2E9C-101B-9397-08002B2CF9AE}" pid="4" name="LastSaved">
    <vt:filetime>2019-09-23T10:00:00Z</vt:filetime>
  </property>
</Properties>
</file>