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2131"/>
        <w:tblW w:w="9540" w:type="dxa"/>
        <w:tblLayout w:type="fixed"/>
        <w:tblLook w:val="04A0" w:firstRow="1" w:lastRow="0" w:firstColumn="1" w:lastColumn="0" w:noHBand="0" w:noVBand="1"/>
        <w:tblCaption w:val="Table"/>
        <w:tblDescription w:val="Table with checklist for a healthy lifestyle plan for each day of the week"/>
      </w:tblPr>
      <w:tblGrid>
        <w:gridCol w:w="5580"/>
        <w:gridCol w:w="1440"/>
        <w:gridCol w:w="2520"/>
      </w:tblGrid>
      <w:tr w:rsidR="00804529" w:rsidRPr="00A31DBB" w14:paraId="05AD2E90" w14:textId="77777777" w:rsidTr="00B32A9C">
        <w:trPr>
          <w:trHeight w:val="71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7DB57994" w:rsidR="00804529" w:rsidRPr="00A31DBB" w:rsidRDefault="00804529" w:rsidP="00A31DBB">
            <w:pPr>
              <w:pStyle w:val="largetext"/>
              <w:tabs>
                <w:tab w:val="left" w:pos="3343"/>
              </w:tabs>
              <w:ind w:left="66"/>
              <w:jc w:val="center"/>
              <w:rPr>
                <w:rFonts w:asciiTheme="majorHAnsi" w:hAnsiTheme="majorHAnsi"/>
                <w:b/>
                <w:bCs/>
                <w:i w:val="0"/>
                <w:iCs w:val="0"/>
              </w:rPr>
            </w:pPr>
            <w:r w:rsidRPr="00A31DBB">
              <w:rPr>
                <w:rFonts w:asciiTheme="majorHAnsi" w:hAnsiTheme="majorHAnsi"/>
                <w:b/>
                <w:bCs/>
                <w:i w:val="0"/>
                <w:iCs w:val="0"/>
              </w:rPr>
              <w:t>January 202</w:t>
            </w:r>
            <w:r w:rsidR="006A6575" w:rsidRPr="00A31DBB">
              <w:rPr>
                <w:rFonts w:asciiTheme="majorHAnsi" w:hAnsiTheme="majorHAnsi"/>
                <w:b/>
                <w:bCs/>
                <w:i w:val="0"/>
                <w:iCs w:val="0"/>
              </w:rPr>
              <w:t>2</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A31DBB">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2520"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A31DBB">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A31DBB">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B32A9C">
        <w:trPr>
          <w:trHeight w:val="262"/>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2C104B">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2A7D0CA7" w:rsidR="002C104B" w:rsidRPr="00B5481B"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Review Trade Blotter</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 xml:space="preserve">Download Blotter from Custodian and review for any irregular trading patterns, trade errors, trade discrepancies or large amounts of trading in one account. </w:t>
            </w:r>
            <w:r w:rsidR="0026738D" w:rsidRPr="00B5481B">
              <w:rPr>
                <w:rFonts w:ascii="Century Gothic" w:hAnsi="Century Gothic"/>
                <w:i w:val="0"/>
                <w:iCs w:val="0"/>
              </w:rPr>
              <w:t xml:space="preserve"> (Or</w:t>
            </w:r>
            <w:r w:rsidRPr="00B5481B">
              <w:rPr>
                <w:rFonts w:ascii="Century Gothic" w:hAnsi="Century Gothic"/>
                <w:i w:val="0"/>
                <w:iCs w:val="0"/>
              </w:rPr>
              <w:t xml:space="preserve"> </w:t>
            </w:r>
            <w:r w:rsidRPr="00B5481B">
              <w:rPr>
                <w:rFonts w:ascii="Century Gothic" w:hAnsi="Century Gothic"/>
              </w:rPr>
              <w:t>Monthly</w:t>
            </w:r>
            <w:r w:rsidR="0026738D" w:rsidRPr="00B5481B">
              <w:rPr>
                <w:rFonts w:ascii="Century Gothic" w:hAnsi="Century Gothic"/>
              </w:rPr>
              <w:t>)</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2E95890" w14:textId="78C5F3FC"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6885EDC4" w:rsidR="002C104B" w:rsidRPr="00B5481B" w:rsidRDefault="002C104B" w:rsidP="002C104B">
            <w:pPr>
              <w:spacing w:before="80" w:after="80" w:line="240" w:lineRule="auto"/>
              <w:ind w:right="158"/>
              <w:rPr>
                <w:rFonts w:ascii="Century Gothic" w:hAnsi="Century Gothic"/>
                <w:i w:val="0"/>
                <w:iCs w:val="0"/>
              </w:rPr>
            </w:pPr>
          </w:p>
        </w:tc>
      </w:tr>
      <w:tr w:rsidR="002C104B" w:rsidRPr="004642DA" w14:paraId="027BE3ED" w14:textId="77777777" w:rsidTr="0026738D">
        <w:trPr>
          <w:trHeight w:val="138"/>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35FCBDA1" w:rsidR="002C104B" w:rsidRPr="000C78A0"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Correspondence and Email Review</w:t>
            </w:r>
            <w:r w:rsidR="00A37207" w:rsidRPr="00B5481B">
              <w:rPr>
                <w:rFonts w:ascii="Century Gothic" w:hAnsi="Century Gothic"/>
                <w:i w:val="0"/>
                <w:iCs w:val="0"/>
              </w:rPr>
              <w:t>:</w:t>
            </w:r>
            <w:r w:rsidRPr="00B5481B">
              <w:rPr>
                <w:rFonts w:ascii="Century Gothic" w:hAnsi="Century Gothic"/>
                <w:i w:val="0"/>
                <w:iCs w:val="0"/>
              </w:rPr>
              <w:t xml:space="preserve"> Review staff correspondence, including email. </w:t>
            </w:r>
            <w:r w:rsidR="0026738D" w:rsidRPr="00B5481B">
              <w:rPr>
                <w:rFonts w:ascii="Century Gothic" w:hAnsi="Century Gothic"/>
              </w:rPr>
              <w:t>(Or</w:t>
            </w:r>
            <w:r w:rsidRPr="00B5481B">
              <w:rPr>
                <w:rFonts w:ascii="Century Gothic" w:hAnsi="Century Gothic"/>
              </w:rPr>
              <w:t xml:space="preserve"> Monthly</w:t>
            </w:r>
            <w:r w:rsidR="0026738D" w:rsidRPr="00B5481B">
              <w:rPr>
                <w:rFonts w:ascii="Century Gothic" w:hAnsi="Century Gothic"/>
              </w:rPr>
              <w:t>)</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5A29F2C9" w:rsidR="002C104B" w:rsidRPr="00BE0EFA"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2C104B">
            <w:pPr>
              <w:spacing w:before="80" w:after="80" w:line="240" w:lineRule="auto"/>
              <w:ind w:right="158"/>
              <w:rPr>
                <w:rFonts w:ascii="Century Gothic" w:hAnsi="Century Gothic"/>
                <w:i w:val="0"/>
                <w:iCs w:val="0"/>
              </w:rPr>
            </w:pPr>
          </w:p>
        </w:tc>
      </w:tr>
      <w:tr w:rsidR="00107A2A" w:rsidRPr="004642DA" w14:paraId="33F22D5E" w14:textId="77777777" w:rsidTr="00B32A9C">
        <w:trPr>
          <w:trHeight w:val="307"/>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2C104B">
            <w:pPr>
              <w:spacing w:before="80" w:after="80" w:line="240" w:lineRule="auto"/>
              <w:ind w:right="158"/>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41A21FFD" w:rsidR="002C104B" w:rsidRPr="002A7C10"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Review of Company Financials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77777777" w:rsidR="002C104B" w:rsidRPr="00BE0EFA"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2C104B">
            <w:pPr>
              <w:spacing w:before="80" w:after="80" w:line="240" w:lineRule="auto"/>
              <w:ind w:right="158"/>
              <w:rPr>
                <w:rFonts w:ascii="Century Gothic" w:hAnsi="Century Gothic"/>
                <w:i w:val="0"/>
                <w:iCs w:val="0"/>
              </w:rPr>
            </w:pPr>
          </w:p>
        </w:tc>
      </w:tr>
      <w:tr w:rsidR="002C104B" w:rsidRPr="004642DA" w14:paraId="736E57DB" w14:textId="77777777" w:rsidTr="00B32A9C">
        <w:trPr>
          <w:trHeight w:val="372"/>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2C104B">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2C104B" w:rsidRPr="00B5481B" w14:paraId="6FC4FF6E" w14:textId="77777777" w:rsidTr="0026738D">
        <w:trPr>
          <w:trHeight w:val="831"/>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48421102" w:rsidR="002C104B" w:rsidRPr="00B5481B" w:rsidRDefault="002C104B" w:rsidP="006A1565">
            <w:pPr>
              <w:pStyle w:val="table"/>
              <w:tabs>
                <w:tab w:val="left" w:pos="3343"/>
              </w:tabs>
              <w:spacing w:before="80" w:after="80"/>
              <w:ind w:right="158"/>
              <w:rPr>
                <w:rFonts w:ascii="Century Gothic" w:hAnsi="Century Gothic"/>
                <w:b/>
                <w:bCs/>
                <w:i w:val="0"/>
                <w:iCs w:val="0"/>
              </w:rPr>
            </w:pPr>
            <w:r w:rsidRPr="00B5481B">
              <w:rPr>
                <w:rFonts w:ascii="Century Gothic" w:hAnsi="Century Gothic"/>
                <w:b/>
                <w:bCs/>
                <w:i w:val="0"/>
                <w:iCs w:val="0"/>
              </w:rPr>
              <w:t>Review Best Execution Report</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Obtain Best Execution Report from Custodian.  Review and document review in file.</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1CEFCA73"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2C104B" w:rsidRPr="00B5481B" w:rsidRDefault="002C104B" w:rsidP="002C104B">
            <w:pPr>
              <w:spacing w:before="80" w:after="80" w:line="240" w:lineRule="auto"/>
              <w:ind w:right="158"/>
              <w:rPr>
                <w:rFonts w:ascii="Century Gothic" w:hAnsi="Century Gothic"/>
                <w:i w:val="0"/>
                <w:iCs w:val="0"/>
              </w:rPr>
            </w:pPr>
          </w:p>
        </w:tc>
      </w:tr>
      <w:tr w:rsidR="009930FF" w:rsidRPr="00B5481B" w14:paraId="5BDCDBC8" w14:textId="77777777" w:rsidTr="0026738D">
        <w:trPr>
          <w:trHeight w:val="831"/>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236A7F3" w14:textId="3C6399EF" w:rsidR="009930FF" w:rsidRPr="00B5481B" w:rsidRDefault="006A1565" w:rsidP="006A1565">
            <w:pPr>
              <w:spacing w:before="80" w:after="80" w:line="240" w:lineRule="auto"/>
              <w:rPr>
                <w:rFonts w:ascii="Century Gothic" w:eastAsia="Calibri" w:hAnsi="Century Gothic" w:cs="Calibri"/>
                <w:b/>
                <w:bCs/>
                <w:i w:val="0"/>
                <w:iCs w:val="0"/>
                <w:lang w:val="en-US"/>
              </w:rPr>
            </w:pPr>
            <w:r w:rsidRPr="00B5481B">
              <w:rPr>
                <w:rFonts w:ascii="Century Gothic" w:hAnsi="Century Gothic"/>
                <w:b/>
                <w:bCs/>
                <w:i w:val="0"/>
                <w:iCs w:val="0"/>
              </w:rPr>
              <w:t xml:space="preserve">Review Billing Statements/Fee Calculations Report </w:t>
            </w:r>
            <w:r w:rsidRPr="00B5481B">
              <w:rPr>
                <w:rFonts w:ascii="Century Gothic" w:hAnsi="Century Gothic"/>
                <w:i w:val="0"/>
                <w:iCs w:val="0"/>
              </w:rPr>
              <w:t>Review billing statements/fee calculations report from custodian or billing program; take any necessary corrective action and document review; maintain in books and records.  This can be done monthly or quarterly.</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5D5E83A" w14:textId="36366D47" w:rsidR="009930FF" w:rsidRPr="00B5481B" w:rsidRDefault="009930FF"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3AC679" w14:textId="77777777" w:rsidR="009930FF" w:rsidRPr="00B5481B" w:rsidRDefault="009930FF" w:rsidP="002C104B">
            <w:pPr>
              <w:spacing w:before="80" w:after="80" w:line="240" w:lineRule="auto"/>
              <w:ind w:right="158"/>
              <w:rPr>
                <w:rFonts w:ascii="Century Gothic" w:hAnsi="Century Gothic"/>
                <w:i w:val="0"/>
                <w:iCs w:val="0"/>
              </w:rPr>
            </w:pPr>
          </w:p>
        </w:tc>
      </w:tr>
      <w:tr w:rsidR="00937B54" w:rsidRPr="00B5481B" w14:paraId="3D9DC00E" w14:textId="77777777" w:rsidTr="000169FE">
        <w:trPr>
          <w:trHeight w:val="2444"/>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DDA882" w14:textId="77777777" w:rsidR="00937B54" w:rsidRPr="00B5481B" w:rsidRDefault="00937B54" w:rsidP="000169FE">
            <w:pPr>
              <w:spacing w:before="80" w:after="80" w:line="240" w:lineRule="auto"/>
              <w:contextualSpacing/>
              <w:rPr>
                <w:rFonts w:ascii="Century Gothic" w:eastAsia="Calibri" w:hAnsi="Century Gothic" w:cs="Calibri"/>
                <w:b/>
                <w:bCs/>
                <w:i w:val="0"/>
                <w:iCs w:val="0"/>
                <w:lang w:val="en-US"/>
              </w:rPr>
            </w:pPr>
            <w:r w:rsidRPr="00B5481B">
              <w:rPr>
                <w:rFonts w:ascii="Century Gothic" w:eastAsia="Calibri" w:hAnsi="Century Gothic" w:cs="Calibri"/>
                <w:b/>
                <w:bCs/>
                <w:i w:val="0"/>
                <w:iCs w:val="0"/>
                <w:lang w:val="en-US"/>
              </w:rPr>
              <w:t>Review “Rollovers” into the Firm in compliance with PTE 2020-02</w:t>
            </w:r>
          </w:p>
          <w:p w14:paraId="668B2C39" w14:textId="3D9671BF" w:rsidR="00937B54" w:rsidRPr="00B5481B" w:rsidRDefault="00937B54" w:rsidP="000169FE">
            <w:pPr>
              <w:pStyle w:val="table"/>
              <w:tabs>
                <w:tab w:val="left" w:pos="3343"/>
              </w:tabs>
              <w:spacing w:before="80" w:after="80"/>
              <w:ind w:right="165"/>
              <w:contextualSpacing/>
              <w:rPr>
                <w:rFonts w:ascii="Century Gothic" w:hAnsi="Century Gothic"/>
                <w:b/>
                <w:bCs/>
                <w:i w:val="0"/>
                <w:iCs w:val="0"/>
              </w:rPr>
            </w:pPr>
            <w:r w:rsidRPr="00B5481B">
              <w:rPr>
                <w:rFonts w:ascii="Century Gothic" w:hAnsi="Century Gothic"/>
                <w:i w:val="0"/>
                <w:iCs w:val="0"/>
              </w:rPr>
              <w:t>Maintain and update a list of clients/accounts sourced from IRA rollovers and/or transfers.  Review each client to ensure a Rollover Analysis form is complete, best interest rationale is documented, Client Acknowledgement and evidence of review and supervision is on file.  Quarterly and/or monthly depending on number of rollovers</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2C7023" w14:textId="610B0BEA" w:rsidR="00937B54" w:rsidRPr="00B5481B" w:rsidRDefault="00937B54"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691A2" w14:textId="77777777" w:rsidR="00937B54" w:rsidRPr="00B5481B" w:rsidRDefault="00937B54" w:rsidP="002C104B">
            <w:pPr>
              <w:spacing w:before="80" w:after="80" w:line="240" w:lineRule="auto"/>
              <w:ind w:right="158"/>
              <w:rPr>
                <w:rFonts w:ascii="Century Gothic" w:hAnsi="Century Gothic"/>
                <w:i w:val="0"/>
                <w:iCs w:val="0"/>
              </w:rPr>
            </w:pPr>
          </w:p>
        </w:tc>
      </w:tr>
      <w:tr w:rsidR="002C104B" w:rsidRPr="004642DA" w14:paraId="743BBBF3" w14:textId="77777777" w:rsidTr="006A1565">
        <w:trPr>
          <w:trHeight w:val="998"/>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67A6E7" w14:textId="78197067" w:rsidR="002C104B" w:rsidRPr="009834F9"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 xml:space="preserve">Quarterly Compliance Meeting with </w:t>
            </w:r>
            <w:r w:rsidR="00A37207" w:rsidRPr="00B5481B">
              <w:rPr>
                <w:rFonts w:ascii="Century Gothic" w:hAnsi="Century Gothic"/>
                <w:b/>
                <w:bCs/>
                <w:i w:val="0"/>
                <w:iCs w:val="0"/>
              </w:rPr>
              <w:t>Management:</w:t>
            </w:r>
            <w:r w:rsidRPr="00B5481B">
              <w:rPr>
                <w:rFonts w:ascii="Century Gothic" w:hAnsi="Century Gothic"/>
                <w:b/>
                <w:bCs/>
                <w:i w:val="0"/>
                <w:iCs w:val="0"/>
              </w:rPr>
              <w:t xml:space="preserve"> </w:t>
            </w:r>
            <w:r w:rsidRPr="00B5481B">
              <w:rPr>
                <w:rFonts w:ascii="Century Gothic" w:hAnsi="Century Gothic"/>
                <w:i w:val="0"/>
                <w:iCs w:val="0"/>
              </w:rPr>
              <w:t>Review any compliance matters that have arisen since the last regular meeting.</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57AB6D9" w14:textId="77777777" w:rsidR="002C104B" w:rsidRPr="00BE0EFA"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FC56EE3" w14:textId="77777777" w:rsidR="002C104B" w:rsidRPr="00BE0EFA" w:rsidRDefault="002C104B" w:rsidP="002C104B">
            <w:pPr>
              <w:spacing w:before="80" w:after="80" w:line="240" w:lineRule="auto"/>
              <w:ind w:right="158"/>
              <w:rPr>
                <w:rFonts w:ascii="Century Gothic" w:hAnsi="Century Gothic"/>
                <w:i w:val="0"/>
                <w:iCs w:val="0"/>
              </w:rPr>
            </w:pPr>
          </w:p>
        </w:tc>
      </w:tr>
      <w:tr w:rsidR="002C104B" w:rsidRPr="00B5481B" w14:paraId="6A56829F" w14:textId="77777777" w:rsidTr="00B32A9C">
        <w:trPr>
          <w:trHeight w:val="1205"/>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CEEAB6D" w14:textId="03E23396" w:rsidR="002C104B" w:rsidRPr="00B5481B" w:rsidRDefault="007F6C12"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lastRenderedPageBreak/>
              <w:t>Quarterly Attestation Review including Quarterly Personal Securities Transaction Reports, Political Contributions. -</w:t>
            </w:r>
            <w:r w:rsidRPr="00B5481B">
              <w:rPr>
                <w:rFonts w:ascii="Century Gothic" w:hAnsi="Century Gothic"/>
                <w:i w:val="0"/>
                <w:iCs w:val="0"/>
              </w:rPr>
              <w:t xml:space="preserve">  Refer to the CRP Compliance Questionnaire document.  It is to be completed by all Associated Persons each quarter.  This is a required document and must be kept on file.</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B332F0B" w14:textId="77777777"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5A0868C"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4642DA" w14:paraId="7D4633A0" w14:textId="77777777" w:rsidTr="00B32A9C">
        <w:trPr>
          <w:trHeight w:val="1205"/>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BB80049" w14:textId="2BF1E13B" w:rsidR="002C104B" w:rsidRPr="009834F9"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Review of Terminated Accounts</w:t>
            </w:r>
            <w:r w:rsidR="00A37207" w:rsidRPr="00B5481B">
              <w:rPr>
                <w:rFonts w:ascii="Century Gothic" w:hAnsi="Century Gothic"/>
                <w:b/>
                <w:bCs/>
                <w:i w:val="0"/>
                <w:iCs w:val="0"/>
              </w:rPr>
              <w:t xml:space="preserve">: </w:t>
            </w:r>
            <w:r w:rsidRPr="00B5481B">
              <w:rPr>
                <w:rFonts w:ascii="Century Gothic" w:hAnsi="Century Gothic"/>
                <w:i w:val="0"/>
                <w:iCs w:val="0"/>
              </w:rPr>
              <w:t>Obtain a report that allows you to verify that amounts refunded to terminated client accounts are accurate and in accordance with your firm's procedures.</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CEFB156" w14:textId="7FD50903" w:rsidR="002C104B" w:rsidRPr="00BE0EFA"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272E84A" w14:textId="77777777" w:rsidR="002C104B" w:rsidRPr="00BE0EFA" w:rsidRDefault="002C104B" w:rsidP="002C104B">
            <w:pPr>
              <w:spacing w:before="80" w:after="80" w:line="240" w:lineRule="auto"/>
              <w:ind w:right="158"/>
              <w:rPr>
                <w:rFonts w:ascii="Century Gothic" w:hAnsi="Century Gothic"/>
                <w:i w:val="0"/>
                <w:iCs w:val="0"/>
              </w:rPr>
            </w:pPr>
          </w:p>
        </w:tc>
      </w:tr>
      <w:tr w:rsidR="002C104B" w:rsidRPr="004642DA" w14:paraId="1C60791F" w14:textId="77777777" w:rsidTr="00B32A9C">
        <w:trPr>
          <w:trHeight w:val="226"/>
        </w:trPr>
        <w:tc>
          <w:tcPr>
            <w:tcW w:w="95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AE98A03" w14:textId="485DBCF6" w:rsidR="002C104B" w:rsidRPr="00BE0EFA" w:rsidRDefault="002C104B" w:rsidP="002C104B">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Annually</w:t>
            </w:r>
          </w:p>
        </w:tc>
      </w:tr>
      <w:tr w:rsidR="002C104B" w:rsidRPr="00B5481B" w14:paraId="3D613F90"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6E0EAF6C" w:rsidR="002C104B" w:rsidRPr="00B5481B"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 xml:space="preserve">Distribute Compliance Manual </w:t>
            </w:r>
            <w:r w:rsidR="0010521D">
              <w:rPr>
                <w:rFonts w:ascii="Century Gothic" w:hAnsi="Century Gothic"/>
                <w:b/>
                <w:bCs/>
                <w:i w:val="0"/>
                <w:iCs w:val="0"/>
              </w:rPr>
              <w:t xml:space="preserve">&amp; Code of </w:t>
            </w:r>
            <w:r w:rsidRPr="00B5481B">
              <w:rPr>
                <w:rFonts w:ascii="Century Gothic" w:hAnsi="Century Gothic"/>
                <w:b/>
                <w:bCs/>
                <w:i w:val="0"/>
                <w:iCs w:val="0"/>
              </w:rPr>
              <w:t>Ethics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Due annually by all</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DF5485" w14:textId="77777777"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B5481B" w14:paraId="106988C8"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D8E1B2E" w14:textId="713492E4" w:rsidR="002C104B" w:rsidRPr="00B5481B"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Review Final Renewal Statement on IARD System</w:t>
            </w:r>
            <w:r w:rsidR="00A37207" w:rsidRPr="00B5481B">
              <w:rPr>
                <w:rFonts w:ascii="Century Gothic" w:hAnsi="Century Gothic"/>
                <w:b/>
                <w:bCs/>
                <w:i w:val="0"/>
                <w:iCs w:val="0"/>
              </w:rPr>
              <w:t xml:space="preserve">: </w:t>
            </w:r>
            <w:r w:rsidRPr="00B5481B">
              <w:rPr>
                <w:rFonts w:ascii="Century Gothic" w:hAnsi="Century Gothic"/>
                <w:i w:val="0"/>
                <w:iCs w:val="0"/>
              </w:rPr>
              <w:t>Review IARD Final Renewal Statement for annual state/individual registrations; CRP will send a copy for review; fund any balance due.</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FB5A96C" w14:textId="77777777"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317BDD"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B5481B" w14:paraId="61F0E3A0"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43745BB" w14:textId="178D634C" w:rsidR="002C104B" w:rsidRPr="00B5481B"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Review Form ADV Part 1, Part 2A Brochure, Wrap Fee Brochure (if applicable) and Part 2B Brochure Supplements</w:t>
            </w:r>
            <w:r w:rsidR="00A37207" w:rsidRPr="00B5481B">
              <w:rPr>
                <w:rFonts w:ascii="Century Gothic" w:hAnsi="Century Gothic"/>
                <w:b/>
                <w:bCs/>
                <w:i w:val="0"/>
                <w:iCs w:val="0"/>
              </w:rPr>
              <w:t xml:space="preserve">: </w:t>
            </w:r>
            <w:r w:rsidRPr="00B5481B">
              <w:rPr>
                <w:rFonts w:ascii="Century Gothic" w:hAnsi="Century Gothic"/>
                <w:i w:val="0"/>
                <w:iCs w:val="0"/>
              </w:rPr>
              <w:t xml:space="preserve">Required annually by CCO. </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7ACAEE" w14:textId="77777777"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CC80EE9"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B5481B" w14:paraId="5B10BDC9"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318D90E" w14:textId="3374338C" w:rsidR="002C104B" w:rsidRPr="00B5481B"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Annual Amendment Updating</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Please complete the attached ADV Questionnaire and send to your CRP representative.  In addition, please add funds to your Flex Account to cover the filing fees.  *SEC Advisers* $225 SEC filing fees.  *State Advisers*, fees vary for each state.</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B4B8E87" w14:textId="77777777"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CA7C3D6"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B5481B" w14:paraId="0AE480E8" w14:textId="77777777" w:rsidTr="00B32A9C">
        <w:trPr>
          <w:trHeight w:val="72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A93A4A5" w14:textId="3953CD9F" w:rsidR="002C104B" w:rsidRPr="00B5481B" w:rsidRDefault="002C104B" w:rsidP="002C104B">
            <w:pPr>
              <w:pStyle w:val="table"/>
              <w:tabs>
                <w:tab w:val="left" w:pos="3343"/>
              </w:tabs>
              <w:spacing w:before="80" w:after="80"/>
              <w:ind w:right="165"/>
              <w:rPr>
                <w:rFonts w:ascii="Century Gothic" w:hAnsi="Century Gothic"/>
                <w:b/>
                <w:bCs/>
                <w:i w:val="0"/>
                <w:iCs w:val="0"/>
              </w:rPr>
            </w:pPr>
            <w:bookmarkStart w:id="0" w:name="_Hlk60471370"/>
            <w:r w:rsidRPr="00B5481B">
              <w:rPr>
                <w:rFonts w:ascii="Century Gothic" w:hAnsi="Century Gothic"/>
                <w:b/>
                <w:bCs/>
                <w:i w:val="0"/>
                <w:iCs w:val="0"/>
              </w:rPr>
              <w:t>Annual IAR Review &amp; Attestations</w:t>
            </w:r>
            <w:bookmarkEnd w:id="0"/>
            <w:r w:rsidR="00A37207" w:rsidRPr="00B5481B">
              <w:rPr>
                <w:rFonts w:ascii="Century Gothic" w:hAnsi="Century Gothic"/>
                <w:i w:val="0"/>
                <w:iCs w:val="0"/>
              </w:rPr>
              <w:t>:</w:t>
            </w:r>
            <w:r w:rsidRPr="00B5481B">
              <w:rPr>
                <w:rFonts w:ascii="Century Gothic" w:hAnsi="Century Gothic"/>
                <w:i w:val="0"/>
                <w:iCs w:val="0"/>
              </w:rPr>
              <w:t xml:space="preserve"> Please see the CRP template and tailor to your firm. CCO will distribute to IARs for completion. Upon completion by IAR, CCO will review.</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D202D1A" w14:textId="0B349D62"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66F0C25"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B5481B" w14:paraId="4D66AEBE" w14:textId="77777777" w:rsidTr="00B32A9C">
        <w:trPr>
          <w:trHeight w:val="98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B31FC2D" w14:textId="74F5BB2D" w:rsidR="002C104B" w:rsidRPr="00B5481B"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Review definition of Regulatory Assets under Management</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Determine Firm's AUM as of 12/31. Retain documentation in file with appropriate back up of AUM numbers.</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7A43785" w14:textId="3F5D6912"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1F2B5D3"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B5481B" w14:paraId="2B0F91A8" w14:textId="77777777" w:rsidTr="00B32A9C">
        <w:trPr>
          <w:trHeight w:val="962"/>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4A9E4A" w14:textId="72D98F58" w:rsidR="002C104B" w:rsidRPr="00B5481B"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Cybersecurity Review and Test</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Review and test cybersecurity policies for employee education, phishing, penetration testing, new vendor due diligence, update incident response plan.</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A772F9" w14:textId="5BB8107D" w:rsidR="002C104B" w:rsidRPr="00B5481B" w:rsidRDefault="002C104B" w:rsidP="002C104B">
            <w:pPr>
              <w:pStyle w:val="table"/>
              <w:spacing w:before="80" w:after="80"/>
              <w:ind w:right="158"/>
              <w:rPr>
                <w:rFonts w:ascii="Century Gothic" w:hAnsi="Century Gothic"/>
                <w:i w:val="0"/>
                <w:iCs w:val="0"/>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6F27820" w14:textId="77777777" w:rsidR="002C104B" w:rsidRPr="00B5481B" w:rsidRDefault="002C104B" w:rsidP="002C104B">
            <w:pPr>
              <w:spacing w:before="80" w:after="80" w:line="240" w:lineRule="auto"/>
              <w:ind w:right="158"/>
              <w:rPr>
                <w:rFonts w:ascii="Century Gothic" w:hAnsi="Century Gothic"/>
                <w:i w:val="0"/>
                <w:iCs w:val="0"/>
              </w:rPr>
            </w:pPr>
          </w:p>
        </w:tc>
      </w:tr>
      <w:tr w:rsidR="002C104B" w:rsidRPr="004642DA" w14:paraId="7A93D08D" w14:textId="77777777" w:rsidTr="00B32A9C">
        <w:trPr>
          <w:trHeight w:val="710"/>
        </w:trPr>
        <w:tc>
          <w:tcPr>
            <w:tcW w:w="558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F53B4D9" w14:textId="50973DB3" w:rsidR="002C104B" w:rsidRPr="0089683D" w:rsidRDefault="002C104B" w:rsidP="002C104B">
            <w:pPr>
              <w:pStyle w:val="table"/>
              <w:tabs>
                <w:tab w:val="left" w:pos="3343"/>
              </w:tabs>
              <w:spacing w:before="80" w:after="80"/>
              <w:ind w:right="165"/>
              <w:rPr>
                <w:rFonts w:ascii="Century Gothic" w:hAnsi="Century Gothic"/>
                <w:b/>
                <w:bCs/>
                <w:i w:val="0"/>
                <w:iCs w:val="0"/>
              </w:rPr>
            </w:pPr>
            <w:r w:rsidRPr="00B5481B">
              <w:rPr>
                <w:rFonts w:ascii="Century Gothic" w:hAnsi="Century Gothic"/>
                <w:b/>
                <w:bCs/>
                <w:i w:val="0"/>
                <w:iCs w:val="0"/>
              </w:rPr>
              <w:t>Review Firm Privacy Policy</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Ensure the sharing of client data is accurately reflected.  Add any affiliations that may share client information.</w:t>
            </w:r>
          </w:p>
        </w:tc>
        <w:tc>
          <w:tcPr>
            <w:tcW w:w="144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94DA201" w14:textId="77777777" w:rsidR="002C104B" w:rsidRPr="00BE0EFA" w:rsidRDefault="002C104B" w:rsidP="002C104B">
            <w:pPr>
              <w:pStyle w:val="table"/>
              <w:spacing w:before="80" w:after="80"/>
              <w:ind w:right="158"/>
              <w:rPr>
                <w:rFonts w:ascii="Century Gothic" w:hAnsi="Century Gothic"/>
                <w:i w:val="0"/>
                <w:iCs w:val="0"/>
                <w:noProof/>
              </w:rPr>
            </w:pPr>
          </w:p>
        </w:tc>
        <w:tc>
          <w:tcPr>
            <w:tcW w:w="252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24CCA8B" w14:textId="77777777" w:rsidR="002C104B" w:rsidRPr="00BE0EFA" w:rsidRDefault="002C104B" w:rsidP="002C104B">
            <w:pPr>
              <w:spacing w:before="80" w:after="80" w:line="240" w:lineRule="auto"/>
              <w:ind w:right="158"/>
              <w:rPr>
                <w:rFonts w:ascii="Century Gothic" w:hAnsi="Century Gothic"/>
                <w:i w:val="0"/>
                <w:iCs w:val="0"/>
              </w:rPr>
            </w:pPr>
          </w:p>
        </w:tc>
      </w:tr>
    </w:tbl>
    <w:p w14:paraId="0FE1FB51" w14:textId="77777777" w:rsidR="00FF1974" w:rsidRPr="00286EBA" w:rsidRDefault="00FF1974" w:rsidP="0026738D">
      <w:pPr>
        <w:rPr>
          <w:b/>
          <w:bCs/>
          <w:i w:val="0"/>
          <w:iCs w:val="0"/>
          <w:color w:val="000000" w:themeColor="text1"/>
          <w:sz w:val="22"/>
          <w:szCs w:val="22"/>
        </w:rPr>
      </w:pPr>
    </w:p>
    <w:sectPr w:rsidR="00FF1974" w:rsidRPr="00286EBA" w:rsidSect="00E23B4E">
      <w:headerReference w:type="default" r:id="rId11"/>
      <w:pgSz w:w="12240" w:h="15840"/>
      <w:pgMar w:top="1440" w:right="1440" w:bottom="1440" w:left="144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C510" w14:textId="77777777" w:rsidR="00AB5F96" w:rsidRDefault="00AB5F96" w:rsidP="00C72A58">
      <w:pPr>
        <w:spacing w:after="0" w:line="240" w:lineRule="auto"/>
      </w:pPr>
      <w:r>
        <w:separator/>
      </w:r>
    </w:p>
  </w:endnote>
  <w:endnote w:type="continuationSeparator" w:id="0">
    <w:p w14:paraId="00CF8236" w14:textId="77777777" w:rsidR="00AB5F96" w:rsidRDefault="00AB5F96" w:rsidP="00C72A58">
      <w:pPr>
        <w:spacing w:after="0" w:line="240" w:lineRule="auto"/>
      </w:pPr>
      <w:r>
        <w:continuationSeparator/>
      </w:r>
    </w:p>
  </w:endnote>
  <w:endnote w:type="continuationNotice" w:id="1">
    <w:p w14:paraId="589F1E4F" w14:textId="77777777" w:rsidR="00AB5F96" w:rsidRDefault="00AB5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Cambria"/>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B428" w14:textId="77777777" w:rsidR="00AB5F96" w:rsidRDefault="00AB5F96" w:rsidP="00C72A58">
      <w:pPr>
        <w:spacing w:after="0" w:line="240" w:lineRule="auto"/>
      </w:pPr>
      <w:r>
        <w:separator/>
      </w:r>
    </w:p>
  </w:footnote>
  <w:footnote w:type="continuationSeparator" w:id="0">
    <w:p w14:paraId="2BE67BEC" w14:textId="77777777" w:rsidR="00AB5F96" w:rsidRDefault="00AB5F96" w:rsidP="00C72A58">
      <w:pPr>
        <w:spacing w:after="0" w:line="240" w:lineRule="auto"/>
      </w:pPr>
      <w:r>
        <w:continuationSeparator/>
      </w:r>
    </w:p>
  </w:footnote>
  <w:footnote w:type="continuationNotice" w:id="1">
    <w:p w14:paraId="08BBF0E8" w14:textId="77777777" w:rsidR="00AB5F96" w:rsidRDefault="00AB5F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864AE86">
          <wp:simplePos x="0" y="0"/>
          <wp:positionH relativeFrom="page">
            <wp:align>right</wp:align>
          </wp:positionH>
          <wp:positionV relativeFrom="paragraph">
            <wp:posOffset>-714375</wp:posOffset>
          </wp:positionV>
          <wp:extent cx="7766783" cy="14001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783"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87105412">
    <w:abstractNumId w:val="27"/>
  </w:num>
  <w:num w:numId="2" w16cid:durableId="1746369098">
    <w:abstractNumId w:val="25"/>
  </w:num>
  <w:num w:numId="3" w16cid:durableId="1521626398">
    <w:abstractNumId w:val="23"/>
  </w:num>
  <w:num w:numId="4" w16cid:durableId="171989472">
    <w:abstractNumId w:val="2"/>
  </w:num>
  <w:num w:numId="5" w16cid:durableId="2069379204">
    <w:abstractNumId w:val="6"/>
  </w:num>
  <w:num w:numId="6" w16cid:durableId="1374765043">
    <w:abstractNumId w:val="11"/>
  </w:num>
  <w:num w:numId="7" w16cid:durableId="1697851710">
    <w:abstractNumId w:val="18"/>
  </w:num>
  <w:num w:numId="8" w16cid:durableId="1603028323">
    <w:abstractNumId w:val="14"/>
  </w:num>
  <w:num w:numId="9" w16cid:durableId="1459566286">
    <w:abstractNumId w:val="19"/>
  </w:num>
  <w:num w:numId="10" w16cid:durableId="515198671">
    <w:abstractNumId w:val="12"/>
  </w:num>
  <w:num w:numId="11" w16cid:durableId="1080369445">
    <w:abstractNumId w:val="0"/>
  </w:num>
  <w:num w:numId="12" w16cid:durableId="517234401">
    <w:abstractNumId w:val="28"/>
  </w:num>
  <w:num w:numId="13" w16cid:durableId="727649154">
    <w:abstractNumId w:val="4"/>
  </w:num>
  <w:num w:numId="14" w16cid:durableId="1472866696">
    <w:abstractNumId w:val="20"/>
  </w:num>
  <w:num w:numId="15" w16cid:durableId="2093040317">
    <w:abstractNumId w:val="5"/>
  </w:num>
  <w:num w:numId="16" w16cid:durableId="948397229">
    <w:abstractNumId w:val="10"/>
  </w:num>
  <w:num w:numId="17" w16cid:durableId="2141921312">
    <w:abstractNumId w:val="8"/>
  </w:num>
  <w:num w:numId="18" w16cid:durableId="1156727582">
    <w:abstractNumId w:val="7"/>
  </w:num>
  <w:num w:numId="19" w16cid:durableId="511336306">
    <w:abstractNumId w:val="13"/>
  </w:num>
  <w:num w:numId="20" w16cid:durableId="1078671059">
    <w:abstractNumId w:val="21"/>
  </w:num>
  <w:num w:numId="21" w16cid:durableId="1541090787">
    <w:abstractNumId w:val="15"/>
  </w:num>
  <w:num w:numId="22" w16cid:durableId="974483348">
    <w:abstractNumId w:val="17"/>
  </w:num>
  <w:num w:numId="23" w16cid:durableId="887765712">
    <w:abstractNumId w:val="16"/>
  </w:num>
  <w:num w:numId="24" w16cid:durableId="631137523">
    <w:abstractNumId w:val="24"/>
  </w:num>
  <w:num w:numId="25" w16cid:durableId="1146387408">
    <w:abstractNumId w:val="22"/>
  </w:num>
  <w:num w:numId="26" w16cid:durableId="1514490370">
    <w:abstractNumId w:val="24"/>
  </w:num>
  <w:num w:numId="27" w16cid:durableId="767386632">
    <w:abstractNumId w:val="26"/>
  </w:num>
  <w:num w:numId="28" w16cid:durableId="1784575681">
    <w:abstractNumId w:val="1"/>
  </w:num>
  <w:num w:numId="29" w16cid:durableId="1667587415">
    <w:abstractNumId w:val="9"/>
  </w:num>
  <w:num w:numId="30" w16cid:durableId="1455558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3F9"/>
    <w:rsid w:val="000169FE"/>
    <w:rsid w:val="00042186"/>
    <w:rsid w:val="00052E5F"/>
    <w:rsid w:val="00053CF4"/>
    <w:rsid w:val="000603D2"/>
    <w:rsid w:val="00071054"/>
    <w:rsid w:val="00071CF0"/>
    <w:rsid w:val="00071E86"/>
    <w:rsid w:val="00072B16"/>
    <w:rsid w:val="00073325"/>
    <w:rsid w:val="00080643"/>
    <w:rsid w:val="000816A4"/>
    <w:rsid w:val="00083B67"/>
    <w:rsid w:val="00090AA9"/>
    <w:rsid w:val="00096446"/>
    <w:rsid w:val="00097011"/>
    <w:rsid w:val="000B44A1"/>
    <w:rsid w:val="000B667F"/>
    <w:rsid w:val="000C78A0"/>
    <w:rsid w:val="000D4130"/>
    <w:rsid w:val="000D4821"/>
    <w:rsid w:val="000E259E"/>
    <w:rsid w:val="000E30BC"/>
    <w:rsid w:val="000E5836"/>
    <w:rsid w:val="000F64D0"/>
    <w:rsid w:val="00101163"/>
    <w:rsid w:val="001050CA"/>
    <w:rsid w:val="0010521D"/>
    <w:rsid w:val="00107A2A"/>
    <w:rsid w:val="00111F2E"/>
    <w:rsid w:val="00117A91"/>
    <w:rsid w:val="001200C5"/>
    <w:rsid w:val="001206DD"/>
    <w:rsid w:val="00126C84"/>
    <w:rsid w:val="00136972"/>
    <w:rsid w:val="001508D7"/>
    <w:rsid w:val="001539A8"/>
    <w:rsid w:val="00156EF4"/>
    <w:rsid w:val="00163B21"/>
    <w:rsid w:val="00170CCE"/>
    <w:rsid w:val="00181C40"/>
    <w:rsid w:val="00185F54"/>
    <w:rsid w:val="001866E2"/>
    <w:rsid w:val="001939D3"/>
    <w:rsid w:val="001960F7"/>
    <w:rsid w:val="00196C44"/>
    <w:rsid w:val="001A6BCC"/>
    <w:rsid w:val="001B17E2"/>
    <w:rsid w:val="001B58C8"/>
    <w:rsid w:val="001C7270"/>
    <w:rsid w:val="001D1F7A"/>
    <w:rsid w:val="001E06F4"/>
    <w:rsid w:val="001E64AE"/>
    <w:rsid w:val="001F48C9"/>
    <w:rsid w:val="00212260"/>
    <w:rsid w:val="0021376A"/>
    <w:rsid w:val="00213862"/>
    <w:rsid w:val="00231D7B"/>
    <w:rsid w:val="0024258C"/>
    <w:rsid w:val="00243D32"/>
    <w:rsid w:val="002453E9"/>
    <w:rsid w:val="002523EB"/>
    <w:rsid w:val="002609F0"/>
    <w:rsid w:val="00260E45"/>
    <w:rsid w:val="002635D2"/>
    <w:rsid w:val="00265CAC"/>
    <w:rsid w:val="00266018"/>
    <w:rsid w:val="0026738D"/>
    <w:rsid w:val="00277F6F"/>
    <w:rsid w:val="00281205"/>
    <w:rsid w:val="00286EBA"/>
    <w:rsid w:val="002935F4"/>
    <w:rsid w:val="0029769B"/>
    <w:rsid w:val="002A7C10"/>
    <w:rsid w:val="002B2511"/>
    <w:rsid w:val="002C104B"/>
    <w:rsid w:val="002C6E6B"/>
    <w:rsid w:val="002D1DA0"/>
    <w:rsid w:val="002D38D2"/>
    <w:rsid w:val="002D5215"/>
    <w:rsid w:val="002E253D"/>
    <w:rsid w:val="002E38B6"/>
    <w:rsid w:val="002E41A8"/>
    <w:rsid w:val="002F0E70"/>
    <w:rsid w:val="00300400"/>
    <w:rsid w:val="003012F1"/>
    <w:rsid w:val="003014E0"/>
    <w:rsid w:val="00302221"/>
    <w:rsid w:val="00310CDA"/>
    <w:rsid w:val="0032038E"/>
    <w:rsid w:val="00325BF6"/>
    <w:rsid w:val="003325F2"/>
    <w:rsid w:val="00333A5A"/>
    <w:rsid w:val="00335D3D"/>
    <w:rsid w:val="00340E73"/>
    <w:rsid w:val="0034152F"/>
    <w:rsid w:val="003479E0"/>
    <w:rsid w:val="00356CCD"/>
    <w:rsid w:val="00362420"/>
    <w:rsid w:val="00372907"/>
    <w:rsid w:val="003733E7"/>
    <w:rsid w:val="00381B4A"/>
    <w:rsid w:val="00384929"/>
    <w:rsid w:val="00386F6C"/>
    <w:rsid w:val="00392D58"/>
    <w:rsid w:val="0039717B"/>
    <w:rsid w:val="00397A33"/>
    <w:rsid w:val="003A3495"/>
    <w:rsid w:val="003B03CE"/>
    <w:rsid w:val="003B2E36"/>
    <w:rsid w:val="003B6F9F"/>
    <w:rsid w:val="003C5715"/>
    <w:rsid w:val="003D47EB"/>
    <w:rsid w:val="003E419F"/>
    <w:rsid w:val="003E647F"/>
    <w:rsid w:val="003F11AA"/>
    <w:rsid w:val="003F5C74"/>
    <w:rsid w:val="003F63BF"/>
    <w:rsid w:val="004018D8"/>
    <w:rsid w:val="004026E1"/>
    <w:rsid w:val="00403215"/>
    <w:rsid w:val="004211B3"/>
    <w:rsid w:val="00421DC4"/>
    <w:rsid w:val="0044538F"/>
    <w:rsid w:val="00446D3B"/>
    <w:rsid w:val="004642DA"/>
    <w:rsid w:val="00476DC0"/>
    <w:rsid w:val="00477666"/>
    <w:rsid w:val="00477F18"/>
    <w:rsid w:val="00481023"/>
    <w:rsid w:val="00483603"/>
    <w:rsid w:val="004947EB"/>
    <w:rsid w:val="0049773B"/>
    <w:rsid w:val="004A40BD"/>
    <w:rsid w:val="004A58C0"/>
    <w:rsid w:val="004B7167"/>
    <w:rsid w:val="004C0791"/>
    <w:rsid w:val="004D1605"/>
    <w:rsid w:val="004D1E21"/>
    <w:rsid w:val="004D2712"/>
    <w:rsid w:val="004D5683"/>
    <w:rsid w:val="004D6C21"/>
    <w:rsid w:val="004D7B50"/>
    <w:rsid w:val="004D7BA7"/>
    <w:rsid w:val="004E4907"/>
    <w:rsid w:val="004F413A"/>
    <w:rsid w:val="004F6407"/>
    <w:rsid w:val="00500AC4"/>
    <w:rsid w:val="0050475C"/>
    <w:rsid w:val="00504C67"/>
    <w:rsid w:val="00510551"/>
    <w:rsid w:val="00514ADF"/>
    <w:rsid w:val="005169A1"/>
    <w:rsid w:val="00517DF5"/>
    <w:rsid w:val="00525378"/>
    <w:rsid w:val="00526404"/>
    <w:rsid w:val="005314E1"/>
    <w:rsid w:val="00531D65"/>
    <w:rsid w:val="00534301"/>
    <w:rsid w:val="005362EF"/>
    <w:rsid w:val="00537560"/>
    <w:rsid w:val="00544A99"/>
    <w:rsid w:val="005504CD"/>
    <w:rsid w:val="005507E3"/>
    <w:rsid w:val="00561A99"/>
    <w:rsid w:val="00562A2E"/>
    <w:rsid w:val="00572DF0"/>
    <w:rsid w:val="00574021"/>
    <w:rsid w:val="00574255"/>
    <w:rsid w:val="00587F22"/>
    <w:rsid w:val="005A6523"/>
    <w:rsid w:val="005A6609"/>
    <w:rsid w:val="005B40FE"/>
    <w:rsid w:val="005B59B2"/>
    <w:rsid w:val="005B6DA8"/>
    <w:rsid w:val="005C4DCB"/>
    <w:rsid w:val="005D4B8F"/>
    <w:rsid w:val="00603B24"/>
    <w:rsid w:val="006119B7"/>
    <w:rsid w:val="00611D7F"/>
    <w:rsid w:val="00614894"/>
    <w:rsid w:val="00614B0B"/>
    <w:rsid w:val="00615445"/>
    <w:rsid w:val="00626256"/>
    <w:rsid w:val="006268D8"/>
    <w:rsid w:val="00627DC4"/>
    <w:rsid w:val="006307EF"/>
    <w:rsid w:val="00635404"/>
    <w:rsid w:val="006428A1"/>
    <w:rsid w:val="006445F8"/>
    <w:rsid w:val="00646C65"/>
    <w:rsid w:val="0064768A"/>
    <w:rsid w:val="00652E6E"/>
    <w:rsid w:val="00653A8E"/>
    <w:rsid w:val="0065613F"/>
    <w:rsid w:val="00664788"/>
    <w:rsid w:val="0066727C"/>
    <w:rsid w:val="0067216F"/>
    <w:rsid w:val="00675B15"/>
    <w:rsid w:val="00680CC0"/>
    <w:rsid w:val="00681242"/>
    <w:rsid w:val="006816E3"/>
    <w:rsid w:val="00683972"/>
    <w:rsid w:val="00684CD1"/>
    <w:rsid w:val="00684F96"/>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E5048"/>
    <w:rsid w:val="006E54DD"/>
    <w:rsid w:val="006F63A7"/>
    <w:rsid w:val="006F7CFE"/>
    <w:rsid w:val="00714D58"/>
    <w:rsid w:val="007164D1"/>
    <w:rsid w:val="007304E1"/>
    <w:rsid w:val="0073261D"/>
    <w:rsid w:val="007327C6"/>
    <w:rsid w:val="00733938"/>
    <w:rsid w:val="007341F6"/>
    <w:rsid w:val="00735A01"/>
    <w:rsid w:val="00741972"/>
    <w:rsid w:val="00741FD2"/>
    <w:rsid w:val="0074205D"/>
    <w:rsid w:val="007428BC"/>
    <w:rsid w:val="00747D45"/>
    <w:rsid w:val="0075053E"/>
    <w:rsid w:val="007550FB"/>
    <w:rsid w:val="00756463"/>
    <w:rsid w:val="0076528E"/>
    <w:rsid w:val="007701B1"/>
    <w:rsid w:val="00771DED"/>
    <w:rsid w:val="0077200C"/>
    <w:rsid w:val="00774810"/>
    <w:rsid w:val="00782780"/>
    <w:rsid w:val="0078472C"/>
    <w:rsid w:val="007A31DE"/>
    <w:rsid w:val="007B6100"/>
    <w:rsid w:val="007C6145"/>
    <w:rsid w:val="007D5AA3"/>
    <w:rsid w:val="007D625E"/>
    <w:rsid w:val="007D7358"/>
    <w:rsid w:val="007E7AD8"/>
    <w:rsid w:val="007F560D"/>
    <w:rsid w:val="007F5BD0"/>
    <w:rsid w:val="007F6C12"/>
    <w:rsid w:val="00804529"/>
    <w:rsid w:val="0080610B"/>
    <w:rsid w:val="008111F1"/>
    <w:rsid w:val="008143EC"/>
    <w:rsid w:val="00815EBA"/>
    <w:rsid w:val="00832DBC"/>
    <w:rsid w:val="00833CEC"/>
    <w:rsid w:val="00845DAB"/>
    <w:rsid w:val="00854426"/>
    <w:rsid w:val="00854EBB"/>
    <w:rsid w:val="008613EB"/>
    <w:rsid w:val="008621CA"/>
    <w:rsid w:val="008662EB"/>
    <w:rsid w:val="008729AF"/>
    <w:rsid w:val="008755B1"/>
    <w:rsid w:val="00882954"/>
    <w:rsid w:val="00883A4B"/>
    <w:rsid w:val="008843FE"/>
    <w:rsid w:val="00886994"/>
    <w:rsid w:val="008926D8"/>
    <w:rsid w:val="0089683D"/>
    <w:rsid w:val="008A2910"/>
    <w:rsid w:val="008A4099"/>
    <w:rsid w:val="008B397C"/>
    <w:rsid w:val="008C1D41"/>
    <w:rsid w:val="008C29F9"/>
    <w:rsid w:val="008C6C15"/>
    <w:rsid w:val="008D11DF"/>
    <w:rsid w:val="008E2498"/>
    <w:rsid w:val="008E378A"/>
    <w:rsid w:val="008E405B"/>
    <w:rsid w:val="008E4FA1"/>
    <w:rsid w:val="008E6076"/>
    <w:rsid w:val="008F05C5"/>
    <w:rsid w:val="008F3177"/>
    <w:rsid w:val="008F3294"/>
    <w:rsid w:val="008F4A12"/>
    <w:rsid w:val="008F567B"/>
    <w:rsid w:val="009025A4"/>
    <w:rsid w:val="00904073"/>
    <w:rsid w:val="009107F9"/>
    <w:rsid w:val="009179B7"/>
    <w:rsid w:val="00921678"/>
    <w:rsid w:val="00931DD8"/>
    <w:rsid w:val="00933346"/>
    <w:rsid w:val="0093426A"/>
    <w:rsid w:val="0093640A"/>
    <w:rsid w:val="00937B54"/>
    <w:rsid w:val="0095121C"/>
    <w:rsid w:val="0095150E"/>
    <w:rsid w:val="009523AF"/>
    <w:rsid w:val="009527BD"/>
    <w:rsid w:val="009659D7"/>
    <w:rsid w:val="00972926"/>
    <w:rsid w:val="009834F9"/>
    <w:rsid w:val="009835D2"/>
    <w:rsid w:val="0098682E"/>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4A9B"/>
    <w:rsid w:val="009D59DA"/>
    <w:rsid w:val="009D64DC"/>
    <w:rsid w:val="009F0F2B"/>
    <w:rsid w:val="009F4BEC"/>
    <w:rsid w:val="009F4EDC"/>
    <w:rsid w:val="00A07B77"/>
    <w:rsid w:val="00A13FA8"/>
    <w:rsid w:val="00A23054"/>
    <w:rsid w:val="00A23B77"/>
    <w:rsid w:val="00A249BB"/>
    <w:rsid w:val="00A30531"/>
    <w:rsid w:val="00A31DBB"/>
    <w:rsid w:val="00A31FE6"/>
    <w:rsid w:val="00A32D3B"/>
    <w:rsid w:val="00A33147"/>
    <w:rsid w:val="00A37207"/>
    <w:rsid w:val="00A37F33"/>
    <w:rsid w:val="00A37F8A"/>
    <w:rsid w:val="00A44F8E"/>
    <w:rsid w:val="00A541E0"/>
    <w:rsid w:val="00A565B2"/>
    <w:rsid w:val="00A83424"/>
    <w:rsid w:val="00A94109"/>
    <w:rsid w:val="00A9694C"/>
    <w:rsid w:val="00A97C3D"/>
    <w:rsid w:val="00AA1728"/>
    <w:rsid w:val="00AA61CD"/>
    <w:rsid w:val="00AA7EDB"/>
    <w:rsid w:val="00AB5F96"/>
    <w:rsid w:val="00AC0AB5"/>
    <w:rsid w:val="00AC0CAF"/>
    <w:rsid w:val="00AC295A"/>
    <w:rsid w:val="00AC7B5D"/>
    <w:rsid w:val="00AD115A"/>
    <w:rsid w:val="00AE3096"/>
    <w:rsid w:val="00AF0E85"/>
    <w:rsid w:val="00AF6E3F"/>
    <w:rsid w:val="00B0730F"/>
    <w:rsid w:val="00B16B78"/>
    <w:rsid w:val="00B17DB9"/>
    <w:rsid w:val="00B20406"/>
    <w:rsid w:val="00B311CF"/>
    <w:rsid w:val="00B31979"/>
    <w:rsid w:val="00B32A9C"/>
    <w:rsid w:val="00B33529"/>
    <w:rsid w:val="00B34FAD"/>
    <w:rsid w:val="00B374E1"/>
    <w:rsid w:val="00B5481B"/>
    <w:rsid w:val="00B6028C"/>
    <w:rsid w:val="00B64705"/>
    <w:rsid w:val="00B81DB9"/>
    <w:rsid w:val="00B86312"/>
    <w:rsid w:val="00B915B2"/>
    <w:rsid w:val="00BA2C2F"/>
    <w:rsid w:val="00BA6FBC"/>
    <w:rsid w:val="00BB289B"/>
    <w:rsid w:val="00BC1234"/>
    <w:rsid w:val="00BC2BAB"/>
    <w:rsid w:val="00BC3098"/>
    <w:rsid w:val="00BC5067"/>
    <w:rsid w:val="00BD22EA"/>
    <w:rsid w:val="00BD3302"/>
    <w:rsid w:val="00BE0EFA"/>
    <w:rsid w:val="00BF6023"/>
    <w:rsid w:val="00C06C46"/>
    <w:rsid w:val="00C265CC"/>
    <w:rsid w:val="00C27BF3"/>
    <w:rsid w:val="00C43ACA"/>
    <w:rsid w:val="00C43F2D"/>
    <w:rsid w:val="00C4491C"/>
    <w:rsid w:val="00C500EF"/>
    <w:rsid w:val="00C51ED3"/>
    <w:rsid w:val="00C60B3E"/>
    <w:rsid w:val="00C61CA7"/>
    <w:rsid w:val="00C6683B"/>
    <w:rsid w:val="00C71B3F"/>
    <w:rsid w:val="00C72A58"/>
    <w:rsid w:val="00C73E4B"/>
    <w:rsid w:val="00C746C2"/>
    <w:rsid w:val="00C80F6A"/>
    <w:rsid w:val="00C91106"/>
    <w:rsid w:val="00C93DD5"/>
    <w:rsid w:val="00CA5351"/>
    <w:rsid w:val="00CA5CF1"/>
    <w:rsid w:val="00CC53E7"/>
    <w:rsid w:val="00CD33AF"/>
    <w:rsid w:val="00CD642A"/>
    <w:rsid w:val="00CE4F0A"/>
    <w:rsid w:val="00CE6907"/>
    <w:rsid w:val="00D02F35"/>
    <w:rsid w:val="00D04CC3"/>
    <w:rsid w:val="00D1490D"/>
    <w:rsid w:val="00D14C70"/>
    <w:rsid w:val="00D21AB8"/>
    <w:rsid w:val="00D31E65"/>
    <w:rsid w:val="00D34A85"/>
    <w:rsid w:val="00D46F6E"/>
    <w:rsid w:val="00D53871"/>
    <w:rsid w:val="00D57B44"/>
    <w:rsid w:val="00D6641B"/>
    <w:rsid w:val="00D675F3"/>
    <w:rsid w:val="00D7496B"/>
    <w:rsid w:val="00D805E8"/>
    <w:rsid w:val="00D84357"/>
    <w:rsid w:val="00DA3917"/>
    <w:rsid w:val="00DA3D34"/>
    <w:rsid w:val="00DA5CEC"/>
    <w:rsid w:val="00DC6462"/>
    <w:rsid w:val="00DD21FA"/>
    <w:rsid w:val="00DD2E55"/>
    <w:rsid w:val="00DD4C87"/>
    <w:rsid w:val="00DD5D75"/>
    <w:rsid w:val="00DD6B72"/>
    <w:rsid w:val="00DE0E9D"/>
    <w:rsid w:val="00DE4ED6"/>
    <w:rsid w:val="00DE5CA5"/>
    <w:rsid w:val="00DF4FA8"/>
    <w:rsid w:val="00E017A9"/>
    <w:rsid w:val="00E0274F"/>
    <w:rsid w:val="00E03FFF"/>
    <w:rsid w:val="00E07A42"/>
    <w:rsid w:val="00E10EDB"/>
    <w:rsid w:val="00E12E97"/>
    <w:rsid w:val="00E17936"/>
    <w:rsid w:val="00E2126C"/>
    <w:rsid w:val="00E23B4E"/>
    <w:rsid w:val="00E3563E"/>
    <w:rsid w:val="00E361D6"/>
    <w:rsid w:val="00E40078"/>
    <w:rsid w:val="00E43C61"/>
    <w:rsid w:val="00E4426D"/>
    <w:rsid w:val="00E50F7C"/>
    <w:rsid w:val="00E51345"/>
    <w:rsid w:val="00E52DB3"/>
    <w:rsid w:val="00E52FAD"/>
    <w:rsid w:val="00E54BA4"/>
    <w:rsid w:val="00E66CB4"/>
    <w:rsid w:val="00E71D35"/>
    <w:rsid w:val="00E758FC"/>
    <w:rsid w:val="00E81532"/>
    <w:rsid w:val="00E81B19"/>
    <w:rsid w:val="00E90DA1"/>
    <w:rsid w:val="00E91EA1"/>
    <w:rsid w:val="00E94C94"/>
    <w:rsid w:val="00EA0D8F"/>
    <w:rsid w:val="00EA1019"/>
    <w:rsid w:val="00EB3461"/>
    <w:rsid w:val="00EB3532"/>
    <w:rsid w:val="00EB3C64"/>
    <w:rsid w:val="00EB5FC5"/>
    <w:rsid w:val="00EB785E"/>
    <w:rsid w:val="00EC44C8"/>
    <w:rsid w:val="00EC5A58"/>
    <w:rsid w:val="00EC7C37"/>
    <w:rsid w:val="00EE4F4A"/>
    <w:rsid w:val="00EE65B8"/>
    <w:rsid w:val="00EF118B"/>
    <w:rsid w:val="00EF676B"/>
    <w:rsid w:val="00F009BF"/>
    <w:rsid w:val="00F03D7C"/>
    <w:rsid w:val="00F045AC"/>
    <w:rsid w:val="00F04680"/>
    <w:rsid w:val="00F13FAA"/>
    <w:rsid w:val="00F1504D"/>
    <w:rsid w:val="00F175D3"/>
    <w:rsid w:val="00F2010B"/>
    <w:rsid w:val="00F237A8"/>
    <w:rsid w:val="00F310D7"/>
    <w:rsid w:val="00F3175F"/>
    <w:rsid w:val="00F512A9"/>
    <w:rsid w:val="00F5484F"/>
    <w:rsid w:val="00F66D52"/>
    <w:rsid w:val="00F85E80"/>
    <w:rsid w:val="00F86843"/>
    <w:rsid w:val="00F9375F"/>
    <w:rsid w:val="00F95AFC"/>
    <w:rsid w:val="00F96DF6"/>
    <w:rsid w:val="00F97804"/>
    <w:rsid w:val="00FA039E"/>
    <w:rsid w:val="00FA4FF7"/>
    <w:rsid w:val="00FB3F64"/>
    <w:rsid w:val="00FC3C9F"/>
    <w:rsid w:val="00FC50EE"/>
    <w:rsid w:val="00FD2777"/>
    <w:rsid w:val="00FD3900"/>
    <w:rsid w:val="00FD3CC9"/>
    <w:rsid w:val="00FD71E3"/>
    <w:rsid w:val="00FE765A"/>
    <w:rsid w:val="00FF1974"/>
    <w:rsid w:val="00FF1BE8"/>
    <w:rsid w:val="00FF24B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ind w:left="280" w:hanging="270"/>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semiHidden/>
    <w:unhideWhenUsed/>
    <w:rsid w:val="00FD71E3"/>
    <w:pPr>
      <w:spacing w:line="240" w:lineRule="auto"/>
    </w:pPr>
  </w:style>
  <w:style w:type="character" w:customStyle="1" w:styleId="CommentTextChar">
    <w:name w:val="Comment Text Char"/>
    <w:basedOn w:val="DefaultParagraphFont"/>
    <w:link w:val="CommentText"/>
    <w:uiPriority w:val="99"/>
    <w:semiHidden/>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ind w:left="1170"/>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CDBD3-9F38-45C0-B09F-17E9709BFC1B}">
  <ds:schemaRefs>
    <ds:schemaRef ds:uri="http://schemas.microsoft.com/sharepoint/v3/contenttype/forms"/>
  </ds:schemaRefs>
</ds:datastoreItem>
</file>

<file path=customXml/itemProps3.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customXml/itemProps4.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2022-01-03T16:55:00Z</dcterms:created>
  <dcterms:modified xsi:type="dcterms:W3CDTF">2022-05-11T17:21:00Z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