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F07A" w14:textId="77777777" w:rsidR="00AB6EDF" w:rsidRPr="00563555" w:rsidRDefault="00AB6EDF" w:rsidP="0026785C">
      <w:pPr>
        <w:rPr>
          <w:color w:val="0432FF"/>
          <w:sz w:val="20"/>
          <w:szCs w:val="20"/>
        </w:rPr>
      </w:pPr>
    </w:p>
    <w:p w14:paraId="3DBD6CC2" w14:textId="77777777" w:rsidR="0026785C" w:rsidRPr="00A96CE7" w:rsidRDefault="00635422" w:rsidP="0026785C">
      <w:pPr>
        <w:jc w:val="center"/>
        <w:rPr>
          <w:b/>
          <w:color w:val="C00000"/>
          <w:sz w:val="21"/>
          <w:szCs w:val="21"/>
          <w:shd w:val="clear" w:color="auto" w:fill="FFFFFF"/>
        </w:rPr>
      </w:pPr>
      <w:r w:rsidRPr="00A96CE7">
        <w:rPr>
          <w:b/>
          <w:color w:val="C00000"/>
          <w:sz w:val="21"/>
          <w:szCs w:val="21"/>
          <w:shd w:val="clear" w:color="auto" w:fill="FFFFFF"/>
        </w:rPr>
        <w:t xml:space="preserve">This document announces a temporary enforcement policy, </w:t>
      </w:r>
    </w:p>
    <w:p w14:paraId="6798A5C8" w14:textId="5FFED18A" w:rsidR="002248AA" w:rsidRPr="00A96CE7" w:rsidRDefault="00FF7A8A" w:rsidP="0026785C">
      <w:pPr>
        <w:jc w:val="center"/>
        <w:rPr>
          <w:b/>
          <w:color w:val="C00000"/>
          <w:sz w:val="21"/>
          <w:szCs w:val="21"/>
          <w:shd w:val="clear" w:color="auto" w:fill="FFFFFF"/>
        </w:rPr>
      </w:pPr>
      <w:r w:rsidRPr="00A96CE7">
        <w:rPr>
          <w:b/>
          <w:color w:val="C00000"/>
          <w:sz w:val="21"/>
          <w:szCs w:val="21"/>
          <w:shd w:val="clear" w:color="auto" w:fill="FFFFFF"/>
        </w:rPr>
        <w:t xml:space="preserve">and </w:t>
      </w:r>
      <w:r w:rsidR="005161BF" w:rsidRPr="00A96CE7">
        <w:rPr>
          <w:b/>
          <w:color w:val="C00000"/>
          <w:sz w:val="21"/>
          <w:szCs w:val="21"/>
          <w:shd w:val="clear" w:color="auto" w:fill="FFFFFF"/>
        </w:rPr>
        <w:t xml:space="preserve">an </w:t>
      </w:r>
      <w:r w:rsidR="00635422" w:rsidRPr="00A96CE7">
        <w:rPr>
          <w:b/>
          <w:color w:val="C00000"/>
          <w:sz w:val="21"/>
          <w:szCs w:val="21"/>
          <w:shd w:val="clear" w:color="auto" w:fill="FFFFFF"/>
        </w:rPr>
        <w:t>update</w:t>
      </w:r>
      <w:r w:rsidR="005161BF" w:rsidRPr="00A96CE7">
        <w:rPr>
          <w:b/>
          <w:color w:val="C00000"/>
          <w:sz w:val="21"/>
          <w:szCs w:val="21"/>
          <w:shd w:val="clear" w:color="auto" w:fill="FFFFFF"/>
        </w:rPr>
        <w:t xml:space="preserve"> to Firm’s </w:t>
      </w:r>
      <w:r w:rsidR="007D6D4E" w:rsidRPr="00A96CE7">
        <w:rPr>
          <w:b/>
          <w:color w:val="C00000"/>
          <w:sz w:val="21"/>
          <w:szCs w:val="21"/>
          <w:shd w:val="clear" w:color="auto" w:fill="FFFFFF"/>
        </w:rPr>
        <w:t>Policies and Procedures</w:t>
      </w:r>
      <w:r w:rsidR="00B57D85" w:rsidRPr="00A96CE7">
        <w:rPr>
          <w:b/>
          <w:color w:val="C00000"/>
          <w:sz w:val="21"/>
          <w:szCs w:val="21"/>
          <w:shd w:val="clear" w:color="auto" w:fill="FFFFFF"/>
        </w:rPr>
        <w:t xml:space="preserve"> </w:t>
      </w:r>
    </w:p>
    <w:p w14:paraId="29702218" w14:textId="41D6438E" w:rsidR="00635422" w:rsidRPr="00A96CE7" w:rsidRDefault="00B57D85" w:rsidP="009426ED">
      <w:pPr>
        <w:jc w:val="center"/>
        <w:rPr>
          <w:b/>
          <w:color w:val="C00000"/>
          <w:sz w:val="21"/>
          <w:szCs w:val="21"/>
          <w:shd w:val="clear" w:color="auto" w:fill="FFFFFF"/>
        </w:rPr>
      </w:pPr>
      <w:r w:rsidRPr="00A96CE7">
        <w:rPr>
          <w:b/>
          <w:color w:val="C00000"/>
          <w:sz w:val="21"/>
          <w:szCs w:val="21"/>
          <w:shd w:val="clear" w:color="auto" w:fill="FFFFFF"/>
        </w:rPr>
        <w:t>related</w:t>
      </w:r>
      <w:r w:rsidR="00635422" w:rsidRPr="00A96CE7">
        <w:rPr>
          <w:b/>
          <w:color w:val="C00000"/>
          <w:sz w:val="21"/>
          <w:szCs w:val="21"/>
          <w:shd w:val="clear" w:color="auto" w:fill="FFFFFF"/>
        </w:rPr>
        <w:t xml:space="preserve"> to the Department of Labor’s </w:t>
      </w:r>
      <w:r w:rsidR="00666286" w:rsidRPr="00A96CE7">
        <w:rPr>
          <w:b/>
          <w:color w:val="C00000"/>
          <w:sz w:val="21"/>
          <w:szCs w:val="21"/>
          <w:shd w:val="clear" w:color="auto" w:fill="FFFFFF"/>
        </w:rPr>
        <w:t>P</w:t>
      </w:r>
      <w:r w:rsidR="00635422" w:rsidRPr="00A96CE7">
        <w:rPr>
          <w:b/>
          <w:color w:val="C00000"/>
          <w:sz w:val="21"/>
          <w:szCs w:val="21"/>
          <w:shd w:val="clear" w:color="auto" w:fill="FFFFFF"/>
        </w:rPr>
        <w:t xml:space="preserve">rohibited </w:t>
      </w:r>
      <w:r w:rsidR="00666286" w:rsidRPr="00A96CE7">
        <w:rPr>
          <w:b/>
          <w:color w:val="C00000"/>
          <w:sz w:val="21"/>
          <w:szCs w:val="21"/>
          <w:shd w:val="clear" w:color="auto" w:fill="FFFFFF"/>
        </w:rPr>
        <w:t>T</w:t>
      </w:r>
      <w:r w:rsidR="00635422" w:rsidRPr="00A96CE7">
        <w:rPr>
          <w:b/>
          <w:color w:val="C00000"/>
          <w:sz w:val="21"/>
          <w:szCs w:val="21"/>
          <w:shd w:val="clear" w:color="auto" w:fill="FFFFFF"/>
        </w:rPr>
        <w:t xml:space="preserve">ransaction </w:t>
      </w:r>
      <w:r w:rsidR="00666286" w:rsidRPr="00A96CE7">
        <w:rPr>
          <w:b/>
          <w:color w:val="C00000"/>
          <w:sz w:val="21"/>
          <w:szCs w:val="21"/>
          <w:shd w:val="clear" w:color="auto" w:fill="FFFFFF"/>
        </w:rPr>
        <w:t>E</w:t>
      </w:r>
      <w:r w:rsidR="00635422" w:rsidRPr="00A96CE7">
        <w:rPr>
          <w:b/>
          <w:color w:val="C00000"/>
          <w:sz w:val="21"/>
          <w:szCs w:val="21"/>
          <w:shd w:val="clear" w:color="auto" w:fill="FFFFFF"/>
        </w:rPr>
        <w:t>xemption (PTE) 2020-02.</w:t>
      </w:r>
    </w:p>
    <w:p w14:paraId="49DB56D3" w14:textId="77777777" w:rsidR="00635422" w:rsidRPr="00563555" w:rsidRDefault="00635422" w:rsidP="0026785C">
      <w:pPr>
        <w:rPr>
          <w:sz w:val="20"/>
          <w:szCs w:val="20"/>
        </w:rPr>
      </w:pPr>
    </w:p>
    <w:p w14:paraId="38934B46" w14:textId="1C005004" w:rsidR="006477A4" w:rsidRPr="00563555" w:rsidRDefault="00662EB7" w:rsidP="009426ED">
      <w:pPr>
        <w:rPr>
          <w:sz w:val="20"/>
          <w:szCs w:val="20"/>
        </w:rPr>
      </w:pPr>
      <w:r w:rsidRPr="00563555">
        <w:rPr>
          <w:sz w:val="20"/>
          <w:szCs w:val="20"/>
        </w:rPr>
        <w:t>As previously communicated</w:t>
      </w:r>
      <w:r w:rsidR="004062A6" w:rsidRPr="00563555">
        <w:rPr>
          <w:sz w:val="20"/>
          <w:szCs w:val="20"/>
        </w:rPr>
        <w:t xml:space="preserve"> by CRP</w:t>
      </w:r>
      <w:r w:rsidRPr="00563555">
        <w:rPr>
          <w:sz w:val="20"/>
          <w:szCs w:val="20"/>
        </w:rPr>
        <w:t xml:space="preserve">, </w:t>
      </w:r>
      <w:r w:rsidR="00F42DE6" w:rsidRPr="00563555">
        <w:rPr>
          <w:sz w:val="20"/>
          <w:szCs w:val="20"/>
        </w:rPr>
        <w:t>on</w:t>
      </w:r>
      <w:r w:rsidR="004F7E34" w:rsidRPr="00563555">
        <w:rPr>
          <w:sz w:val="20"/>
          <w:szCs w:val="20"/>
        </w:rPr>
        <w:t xml:space="preserve"> October 25, 2021</w:t>
      </w:r>
      <w:r w:rsidR="006477A4" w:rsidRPr="00563555">
        <w:rPr>
          <w:sz w:val="20"/>
          <w:szCs w:val="20"/>
        </w:rPr>
        <w:t>, the Department</w:t>
      </w:r>
      <w:r w:rsidR="004F7E34" w:rsidRPr="00563555">
        <w:rPr>
          <w:sz w:val="20"/>
          <w:szCs w:val="20"/>
        </w:rPr>
        <w:t xml:space="preserve"> of Labor</w:t>
      </w:r>
      <w:r w:rsidR="006D5BB1">
        <w:rPr>
          <w:sz w:val="20"/>
          <w:szCs w:val="20"/>
        </w:rPr>
        <w:t xml:space="preserve"> (“Department” or “DOL”)</w:t>
      </w:r>
      <w:r w:rsidR="006477A4" w:rsidRPr="00563555">
        <w:rPr>
          <w:sz w:val="20"/>
          <w:szCs w:val="20"/>
        </w:rPr>
        <w:t xml:space="preserve"> stated it would not pursue prohibited transaction claims against investment advice fiduciaries who worked diligently and in good faith to comply with “Impartial Conduct Standards” for transactions that would have been exempt under the</w:t>
      </w:r>
      <w:r w:rsidR="00CC7827">
        <w:rPr>
          <w:sz w:val="20"/>
          <w:szCs w:val="20"/>
        </w:rPr>
        <w:t xml:space="preserve"> new </w:t>
      </w:r>
      <w:r w:rsidR="0069266C" w:rsidRPr="0069266C">
        <w:rPr>
          <w:sz w:val="20"/>
          <w:szCs w:val="20"/>
        </w:rPr>
        <w:t xml:space="preserve">Department of Labor’s </w:t>
      </w:r>
      <w:r w:rsidR="00A95B1D">
        <w:rPr>
          <w:sz w:val="20"/>
          <w:szCs w:val="20"/>
        </w:rPr>
        <w:t>P</w:t>
      </w:r>
      <w:r w:rsidR="0069266C" w:rsidRPr="0069266C">
        <w:rPr>
          <w:sz w:val="20"/>
          <w:szCs w:val="20"/>
        </w:rPr>
        <w:t xml:space="preserve">rohibited </w:t>
      </w:r>
      <w:r w:rsidR="003E23D5">
        <w:rPr>
          <w:sz w:val="20"/>
          <w:szCs w:val="20"/>
        </w:rPr>
        <w:t>T</w:t>
      </w:r>
      <w:r w:rsidR="0069266C" w:rsidRPr="0069266C">
        <w:rPr>
          <w:sz w:val="20"/>
          <w:szCs w:val="20"/>
        </w:rPr>
        <w:t xml:space="preserve">ransaction </w:t>
      </w:r>
      <w:r w:rsidR="003E23D5">
        <w:rPr>
          <w:sz w:val="20"/>
          <w:szCs w:val="20"/>
        </w:rPr>
        <w:t>E</w:t>
      </w:r>
      <w:r w:rsidR="0069266C" w:rsidRPr="0069266C">
        <w:rPr>
          <w:sz w:val="20"/>
          <w:szCs w:val="20"/>
        </w:rPr>
        <w:t>xemption (PTE) 2020-02.</w:t>
      </w:r>
      <w:r w:rsidR="008206A5">
        <w:rPr>
          <w:sz w:val="20"/>
          <w:szCs w:val="20"/>
        </w:rPr>
        <w:t xml:space="preserve">  </w:t>
      </w:r>
      <w:r w:rsidR="006477A4" w:rsidRPr="00563555">
        <w:rPr>
          <w:sz w:val="20"/>
          <w:szCs w:val="20"/>
        </w:rPr>
        <w:t xml:space="preserve">The Department understands that </w:t>
      </w:r>
      <w:r w:rsidR="00F42DE6" w:rsidRPr="00563555">
        <w:rPr>
          <w:sz w:val="20"/>
          <w:szCs w:val="20"/>
        </w:rPr>
        <w:t xml:space="preserve">investment firms are in the process of developing tools to comply with the rollover documentation and disclosure requirements. </w:t>
      </w:r>
      <w:r w:rsidR="00AA5CD1" w:rsidRPr="00563555">
        <w:rPr>
          <w:sz w:val="20"/>
          <w:szCs w:val="20"/>
        </w:rPr>
        <w:t xml:space="preserve"> </w:t>
      </w:r>
      <w:r w:rsidR="00F42DE6" w:rsidRPr="00563555">
        <w:rPr>
          <w:sz w:val="20"/>
          <w:szCs w:val="20"/>
        </w:rPr>
        <w:t xml:space="preserve">Additionally, </w:t>
      </w:r>
      <w:r w:rsidR="00B57D85" w:rsidRPr="00563555">
        <w:rPr>
          <w:sz w:val="20"/>
          <w:szCs w:val="20"/>
        </w:rPr>
        <w:t>investment firms</w:t>
      </w:r>
      <w:r w:rsidR="002248AA" w:rsidRPr="00563555">
        <w:rPr>
          <w:sz w:val="20"/>
          <w:szCs w:val="20"/>
        </w:rPr>
        <w:t xml:space="preserve"> </w:t>
      </w:r>
      <w:r w:rsidR="006477A4" w:rsidRPr="00563555">
        <w:rPr>
          <w:sz w:val="20"/>
          <w:szCs w:val="20"/>
        </w:rPr>
        <w:t>expressed concern that they would incur significant additional distribution costs, because the December 20, 2021, expiration date d</w:t>
      </w:r>
      <w:r w:rsidR="00621CA2" w:rsidRPr="00563555">
        <w:rPr>
          <w:sz w:val="20"/>
          <w:szCs w:val="20"/>
        </w:rPr>
        <w:t>id</w:t>
      </w:r>
      <w:r w:rsidR="006477A4" w:rsidRPr="00563555">
        <w:rPr>
          <w:sz w:val="20"/>
          <w:szCs w:val="20"/>
        </w:rPr>
        <w:t xml:space="preserve"> not </w:t>
      </w:r>
      <w:r w:rsidR="00384B73" w:rsidRPr="00563555">
        <w:rPr>
          <w:sz w:val="20"/>
          <w:szCs w:val="20"/>
        </w:rPr>
        <w:t>coincide with</w:t>
      </w:r>
      <w:r w:rsidR="006477A4" w:rsidRPr="00563555">
        <w:rPr>
          <w:sz w:val="20"/>
          <w:szCs w:val="20"/>
        </w:rPr>
        <w:t xml:space="preserve"> their</w:t>
      </w:r>
      <w:r w:rsidR="00384B73" w:rsidRPr="00563555">
        <w:rPr>
          <w:sz w:val="20"/>
          <w:szCs w:val="20"/>
        </w:rPr>
        <w:t xml:space="preserve"> annual </w:t>
      </w:r>
      <w:r w:rsidR="006477A4" w:rsidRPr="00563555">
        <w:rPr>
          <w:sz w:val="20"/>
          <w:szCs w:val="20"/>
        </w:rPr>
        <w:t xml:space="preserve">distribution cycle for disclosures. </w:t>
      </w:r>
    </w:p>
    <w:p w14:paraId="162D0771" w14:textId="77777777" w:rsidR="00B57D85" w:rsidRPr="00563555" w:rsidRDefault="00B57D85" w:rsidP="0026785C">
      <w:pPr>
        <w:rPr>
          <w:sz w:val="20"/>
          <w:szCs w:val="20"/>
        </w:rPr>
      </w:pPr>
    </w:p>
    <w:p w14:paraId="17C8DD63" w14:textId="2BBD2A0F" w:rsidR="008A3CBE" w:rsidRPr="00563555" w:rsidRDefault="006477A4" w:rsidP="0026785C">
      <w:pPr>
        <w:rPr>
          <w:b/>
          <w:bCs/>
          <w:color w:val="0432FF"/>
          <w:sz w:val="20"/>
          <w:szCs w:val="20"/>
        </w:rPr>
      </w:pPr>
      <w:r w:rsidRPr="00563555">
        <w:rPr>
          <w:sz w:val="20"/>
          <w:szCs w:val="20"/>
        </w:rPr>
        <w:t>Accordingly, for the period</w:t>
      </w:r>
      <w:r w:rsidR="00F07E6D">
        <w:rPr>
          <w:sz w:val="20"/>
          <w:szCs w:val="20"/>
        </w:rPr>
        <w:t xml:space="preserve">, </w:t>
      </w:r>
      <w:r w:rsidRPr="00563555">
        <w:rPr>
          <w:sz w:val="20"/>
          <w:szCs w:val="20"/>
        </w:rPr>
        <w:t xml:space="preserve">December 21, </w:t>
      </w:r>
      <w:r w:rsidR="00B57D85" w:rsidRPr="00563555">
        <w:rPr>
          <w:sz w:val="20"/>
          <w:szCs w:val="20"/>
        </w:rPr>
        <w:t>2021</w:t>
      </w:r>
      <w:r w:rsidR="006D5BB1">
        <w:rPr>
          <w:sz w:val="20"/>
          <w:szCs w:val="20"/>
        </w:rPr>
        <w:t>,</w:t>
      </w:r>
      <w:r w:rsidRPr="00563555">
        <w:rPr>
          <w:sz w:val="20"/>
          <w:szCs w:val="20"/>
        </w:rPr>
        <w:t xml:space="preserve"> through January 31, 2022, the Department will not pursue prohibited transactions claims against </w:t>
      </w:r>
      <w:r w:rsidR="000536AB" w:rsidRPr="00563555">
        <w:rPr>
          <w:sz w:val="20"/>
          <w:szCs w:val="20"/>
        </w:rPr>
        <w:t>advisory firms</w:t>
      </w:r>
      <w:r w:rsidRPr="00563555">
        <w:rPr>
          <w:sz w:val="20"/>
          <w:szCs w:val="20"/>
        </w:rPr>
        <w:t xml:space="preserve"> who are working diligently and in good faith to comply with the impartial conduct standards for </w:t>
      </w:r>
      <w:r w:rsidR="004F1C5F" w:rsidRPr="00563555">
        <w:rPr>
          <w:sz w:val="20"/>
          <w:szCs w:val="20"/>
        </w:rPr>
        <w:t xml:space="preserve">plan rollover and IRA transfer </w:t>
      </w:r>
      <w:r w:rsidRPr="00563555">
        <w:rPr>
          <w:sz w:val="20"/>
          <w:szCs w:val="20"/>
        </w:rPr>
        <w:t>transaction</w:t>
      </w:r>
      <w:r w:rsidR="004F1C5F" w:rsidRPr="00563555">
        <w:rPr>
          <w:sz w:val="20"/>
          <w:szCs w:val="20"/>
        </w:rPr>
        <w:t xml:space="preserve">s.  </w:t>
      </w:r>
      <w:r w:rsidRPr="00563555">
        <w:rPr>
          <w:sz w:val="20"/>
          <w:szCs w:val="20"/>
        </w:rPr>
        <w:t xml:space="preserve">In addition, from December 21, </w:t>
      </w:r>
      <w:r w:rsidR="00FE4C18" w:rsidRPr="00563555">
        <w:rPr>
          <w:sz w:val="20"/>
          <w:szCs w:val="20"/>
        </w:rPr>
        <w:t>2021,</w:t>
      </w:r>
      <w:r w:rsidRPr="00563555">
        <w:rPr>
          <w:sz w:val="20"/>
          <w:szCs w:val="20"/>
        </w:rPr>
        <w:t xml:space="preserve"> through June 30, 2022, the Department will not pursue prohibited transactions claims against </w:t>
      </w:r>
      <w:r w:rsidR="00FE4C18" w:rsidRPr="00563555">
        <w:rPr>
          <w:sz w:val="20"/>
          <w:szCs w:val="20"/>
        </w:rPr>
        <w:t>advisory firms</w:t>
      </w:r>
      <w:r w:rsidRPr="00563555">
        <w:rPr>
          <w:sz w:val="20"/>
          <w:szCs w:val="20"/>
        </w:rPr>
        <w:t xml:space="preserve"> who are otherwise </w:t>
      </w:r>
      <w:r w:rsidR="00F22874">
        <w:rPr>
          <w:sz w:val="20"/>
          <w:szCs w:val="20"/>
        </w:rPr>
        <w:t>working towards</w:t>
      </w:r>
      <w:r w:rsidRPr="00563555">
        <w:rPr>
          <w:sz w:val="20"/>
          <w:szCs w:val="20"/>
        </w:rPr>
        <w:t xml:space="preserve"> compliance with PTE 2020-02</w:t>
      </w:r>
      <w:r w:rsidR="008A3CBE" w:rsidRPr="00563555">
        <w:rPr>
          <w:sz w:val="20"/>
          <w:szCs w:val="20"/>
        </w:rPr>
        <w:t>.</w:t>
      </w:r>
      <w:r w:rsidR="00895B0C" w:rsidRPr="00563555">
        <w:rPr>
          <w:b/>
          <w:bCs/>
          <w:sz w:val="20"/>
          <w:szCs w:val="20"/>
        </w:rPr>
        <w:t xml:space="preserve">  </w:t>
      </w:r>
      <w:r w:rsidR="008A3CBE" w:rsidRPr="009124B7">
        <w:rPr>
          <w:b/>
          <w:bCs/>
          <w:color w:val="000000" w:themeColor="text1"/>
          <w:sz w:val="20"/>
          <w:szCs w:val="20"/>
          <w:u w:val="single"/>
        </w:rPr>
        <w:t xml:space="preserve">However, CRP </w:t>
      </w:r>
      <w:r w:rsidR="00E87B56" w:rsidRPr="009124B7">
        <w:rPr>
          <w:b/>
          <w:bCs/>
          <w:color w:val="000000" w:themeColor="text1"/>
          <w:sz w:val="20"/>
          <w:szCs w:val="20"/>
          <w:u w:val="single"/>
        </w:rPr>
        <w:t xml:space="preserve">will </w:t>
      </w:r>
      <w:r w:rsidR="00EB5EAE" w:rsidRPr="009124B7">
        <w:rPr>
          <w:b/>
          <w:bCs/>
          <w:color w:val="000000" w:themeColor="text1"/>
          <w:sz w:val="20"/>
          <w:szCs w:val="20"/>
          <w:u w:val="single"/>
        </w:rPr>
        <w:t>continue to outline</w:t>
      </w:r>
      <w:r w:rsidR="008A3CBE" w:rsidRPr="009124B7">
        <w:rPr>
          <w:b/>
          <w:bCs/>
          <w:color w:val="000000" w:themeColor="text1"/>
          <w:sz w:val="20"/>
          <w:szCs w:val="20"/>
          <w:u w:val="single"/>
        </w:rPr>
        <w:t xml:space="preserve"> </w:t>
      </w:r>
      <w:r w:rsidR="0003451F" w:rsidRPr="009124B7">
        <w:rPr>
          <w:b/>
          <w:bCs/>
          <w:color w:val="000000" w:themeColor="text1"/>
          <w:sz w:val="20"/>
          <w:szCs w:val="20"/>
          <w:u w:val="single"/>
        </w:rPr>
        <w:t>and update</w:t>
      </w:r>
      <w:r w:rsidR="00D250DA" w:rsidRPr="009124B7">
        <w:rPr>
          <w:b/>
          <w:bCs/>
          <w:color w:val="000000" w:themeColor="text1"/>
          <w:sz w:val="20"/>
          <w:szCs w:val="20"/>
          <w:u w:val="single"/>
        </w:rPr>
        <w:t xml:space="preserve"> the</w:t>
      </w:r>
      <w:r w:rsidR="0003451F" w:rsidRPr="009124B7">
        <w:rPr>
          <w:b/>
          <w:bCs/>
          <w:color w:val="000000" w:themeColor="text1"/>
          <w:sz w:val="20"/>
          <w:szCs w:val="20"/>
          <w:u w:val="single"/>
        </w:rPr>
        <w:t xml:space="preserve"> </w:t>
      </w:r>
      <w:r w:rsidR="00D250DA" w:rsidRPr="009124B7">
        <w:rPr>
          <w:b/>
          <w:bCs/>
          <w:color w:val="000000" w:themeColor="text1"/>
          <w:sz w:val="20"/>
          <w:szCs w:val="20"/>
          <w:u w:val="single"/>
        </w:rPr>
        <w:t>compliance policie</w:t>
      </w:r>
      <w:r w:rsidR="003A50EC" w:rsidRPr="009124B7">
        <w:rPr>
          <w:b/>
          <w:bCs/>
          <w:color w:val="000000" w:themeColor="text1"/>
          <w:sz w:val="20"/>
          <w:szCs w:val="20"/>
          <w:u w:val="single"/>
        </w:rPr>
        <w:t>s</w:t>
      </w:r>
      <w:r w:rsidR="00D250DA" w:rsidRPr="009124B7">
        <w:rPr>
          <w:b/>
          <w:bCs/>
          <w:color w:val="000000" w:themeColor="text1"/>
          <w:sz w:val="20"/>
          <w:szCs w:val="20"/>
          <w:u w:val="single"/>
        </w:rPr>
        <w:t xml:space="preserve"> </w:t>
      </w:r>
      <w:r w:rsidR="008A3CBE" w:rsidRPr="009124B7">
        <w:rPr>
          <w:b/>
          <w:bCs/>
          <w:color w:val="000000" w:themeColor="text1"/>
          <w:sz w:val="20"/>
          <w:szCs w:val="20"/>
          <w:u w:val="single"/>
        </w:rPr>
        <w:t xml:space="preserve">and </w:t>
      </w:r>
      <w:r w:rsidR="00D250DA" w:rsidRPr="009124B7">
        <w:rPr>
          <w:b/>
          <w:bCs/>
          <w:color w:val="000000" w:themeColor="text1"/>
          <w:sz w:val="20"/>
          <w:szCs w:val="20"/>
          <w:u w:val="single"/>
        </w:rPr>
        <w:t>p</w:t>
      </w:r>
      <w:r w:rsidR="008A3CBE" w:rsidRPr="009124B7">
        <w:rPr>
          <w:b/>
          <w:bCs/>
          <w:color w:val="000000" w:themeColor="text1"/>
          <w:sz w:val="20"/>
          <w:szCs w:val="20"/>
          <w:u w:val="single"/>
        </w:rPr>
        <w:t>rocedures</w:t>
      </w:r>
      <w:r w:rsidR="00EB5EAE" w:rsidRPr="009124B7">
        <w:rPr>
          <w:b/>
          <w:bCs/>
          <w:color w:val="000000" w:themeColor="text1"/>
          <w:sz w:val="20"/>
          <w:szCs w:val="20"/>
          <w:u w:val="single"/>
        </w:rPr>
        <w:t xml:space="preserve"> to </w:t>
      </w:r>
      <w:r w:rsidR="00132E48" w:rsidRPr="009124B7">
        <w:rPr>
          <w:b/>
          <w:bCs/>
          <w:color w:val="000000" w:themeColor="text1"/>
          <w:sz w:val="20"/>
          <w:szCs w:val="20"/>
          <w:u w:val="single"/>
        </w:rPr>
        <w:t xml:space="preserve">educate and </w:t>
      </w:r>
      <w:r w:rsidR="00EB5EAE" w:rsidRPr="009124B7">
        <w:rPr>
          <w:b/>
          <w:bCs/>
          <w:color w:val="000000" w:themeColor="text1"/>
          <w:sz w:val="20"/>
          <w:szCs w:val="20"/>
          <w:u w:val="single"/>
        </w:rPr>
        <w:t xml:space="preserve">assist </w:t>
      </w:r>
      <w:r w:rsidR="00132E48" w:rsidRPr="009124B7">
        <w:rPr>
          <w:b/>
          <w:bCs/>
          <w:color w:val="000000" w:themeColor="text1"/>
          <w:sz w:val="20"/>
          <w:szCs w:val="20"/>
          <w:u w:val="single"/>
        </w:rPr>
        <w:t xml:space="preserve">in the </w:t>
      </w:r>
      <w:r w:rsidR="00EB5EAE" w:rsidRPr="009124B7">
        <w:rPr>
          <w:b/>
          <w:bCs/>
          <w:color w:val="000000" w:themeColor="text1"/>
          <w:sz w:val="20"/>
          <w:szCs w:val="20"/>
          <w:u w:val="single"/>
        </w:rPr>
        <w:t>implement</w:t>
      </w:r>
      <w:r w:rsidR="00132E48" w:rsidRPr="009124B7">
        <w:rPr>
          <w:b/>
          <w:bCs/>
          <w:color w:val="000000" w:themeColor="text1"/>
          <w:sz w:val="20"/>
          <w:szCs w:val="20"/>
          <w:u w:val="single"/>
        </w:rPr>
        <w:t>ation</w:t>
      </w:r>
      <w:r w:rsidR="00EB5EAE" w:rsidRPr="009124B7">
        <w:rPr>
          <w:b/>
          <w:bCs/>
          <w:color w:val="000000" w:themeColor="text1"/>
          <w:sz w:val="20"/>
          <w:szCs w:val="20"/>
          <w:u w:val="single"/>
        </w:rPr>
        <w:t xml:space="preserve"> </w:t>
      </w:r>
      <w:r w:rsidR="00132E48" w:rsidRPr="009124B7">
        <w:rPr>
          <w:b/>
          <w:bCs/>
          <w:color w:val="000000" w:themeColor="text1"/>
          <w:sz w:val="20"/>
          <w:szCs w:val="20"/>
          <w:u w:val="single"/>
        </w:rPr>
        <w:t xml:space="preserve">of </w:t>
      </w:r>
      <w:r w:rsidR="00EB5EAE" w:rsidRPr="009124B7">
        <w:rPr>
          <w:b/>
          <w:bCs/>
          <w:color w:val="000000" w:themeColor="text1"/>
          <w:sz w:val="20"/>
          <w:szCs w:val="20"/>
          <w:u w:val="single"/>
        </w:rPr>
        <w:t>PTE</w:t>
      </w:r>
      <w:r w:rsidR="00E87B56" w:rsidRPr="009124B7">
        <w:rPr>
          <w:b/>
          <w:bCs/>
          <w:color w:val="000000" w:themeColor="text1"/>
          <w:sz w:val="20"/>
          <w:szCs w:val="20"/>
          <w:u w:val="single"/>
        </w:rPr>
        <w:t>-2020</w:t>
      </w:r>
      <w:r w:rsidR="00BB2F17" w:rsidRPr="009124B7">
        <w:rPr>
          <w:b/>
          <w:bCs/>
          <w:color w:val="000000" w:themeColor="text1"/>
          <w:sz w:val="20"/>
          <w:szCs w:val="20"/>
          <w:u w:val="single"/>
        </w:rPr>
        <w:t>-02</w:t>
      </w:r>
      <w:r w:rsidR="00A77740" w:rsidRPr="009124B7">
        <w:rPr>
          <w:b/>
          <w:bCs/>
          <w:color w:val="000000" w:themeColor="text1"/>
          <w:sz w:val="20"/>
          <w:szCs w:val="20"/>
          <w:u w:val="single"/>
        </w:rPr>
        <w:t>.</w:t>
      </w:r>
    </w:p>
    <w:p w14:paraId="720CB762" w14:textId="77777777" w:rsidR="00A77740" w:rsidRDefault="00A77740" w:rsidP="0026785C">
      <w:pPr>
        <w:rPr>
          <w:sz w:val="20"/>
          <w:szCs w:val="20"/>
        </w:rPr>
      </w:pPr>
    </w:p>
    <w:p w14:paraId="04799E8F" w14:textId="5192B99C" w:rsidR="00A77740" w:rsidRPr="00A77740" w:rsidRDefault="00094BD1" w:rsidP="0026785C">
      <w:pPr>
        <w:rPr>
          <w:b/>
          <w:bCs/>
          <w:color w:val="000000" w:themeColor="text1"/>
          <w:sz w:val="20"/>
          <w:szCs w:val="20"/>
        </w:rPr>
      </w:pPr>
      <w:r w:rsidRPr="002E2D95">
        <w:rPr>
          <w:b/>
          <w:bCs/>
          <w:color w:val="C00000"/>
          <w:sz w:val="20"/>
          <w:szCs w:val="20"/>
        </w:rPr>
        <w:t>WHAT DO CCO’S NEED TO DO NOW?</w:t>
      </w:r>
    </w:p>
    <w:p w14:paraId="633C5390" w14:textId="132BC071" w:rsidR="0003451F" w:rsidRPr="00563555" w:rsidRDefault="0003451F" w:rsidP="0026785C">
      <w:pPr>
        <w:rPr>
          <w:sz w:val="20"/>
          <w:szCs w:val="20"/>
        </w:rPr>
      </w:pPr>
      <w:r w:rsidRPr="00563555">
        <w:rPr>
          <w:sz w:val="20"/>
          <w:szCs w:val="20"/>
        </w:rPr>
        <w:t xml:space="preserve">Based on overwhelming </w:t>
      </w:r>
      <w:r w:rsidR="00CC62B8" w:rsidRPr="00563555">
        <w:rPr>
          <w:sz w:val="20"/>
          <w:szCs w:val="20"/>
        </w:rPr>
        <w:t xml:space="preserve">confusion </w:t>
      </w:r>
      <w:r w:rsidR="009C4CF0" w:rsidRPr="00563555">
        <w:rPr>
          <w:sz w:val="20"/>
          <w:szCs w:val="20"/>
        </w:rPr>
        <w:t>within the industry</w:t>
      </w:r>
      <w:r w:rsidR="00D92051" w:rsidRPr="00563555">
        <w:rPr>
          <w:sz w:val="20"/>
          <w:szCs w:val="20"/>
        </w:rPr>
        <w:t>,</w:t>
      </w:r>
      <w:r w:rsidR="009C4CF0" w:rsidRPr="00563555">
        <w:rPr>
          <w:sz w:val="20"/>
          <w:szCs w:val="20"/>
        </w:rPr>
        <w:t xml:space="preserve"> </w:t>
      </w:r>
      <w:r w:rsidR="00CC62B8" w:rsidRPr="00563555">
        <w:rPr>
          <w:sz w:val="20"/>
          <w:szCs w:val="20"/>
        </w:rPr>
        <w:t xml:space="preserve">and </w:t>
      </w:r>
      <w:r w:rsidR="009C4CF0" w:rsidRPr="00563555">
        <w:rPr>
          <w:sz w:val="20"/>
          <w:szCs w:val="20"/>
        </w:rPr>
        <w:t xml:space="preserve">various </w:t>
      </w:r>
      <w:r w:rsidR="00CC62B8" w:rsidRPr="00563555">
        <w:rPr>
          <w:sz w:val="20"/>
          <w:szCs w:val="20"/>
        </w:rPr>
        <w:t>questions</w:t>
      </w:r>
      <w:r w:rsidR="009C4CF0" w:rsidRPr="00563555">
        <w:rPr>
          <w:sz w:val="20"/>
          <w:szCs w:val="20"/>
        </w:rPr>
        <w:t xml:space="preserve"> from our </w:t>
      </w:r>
      <w:r w:rsidR="00D92051" w:rsidRPr="00563555">
        <w:rPr>
          <w:sz w:val="20"/>
          <w:szCs w:val="20"/>
        </w:rPr>
        <w:t xml:space="preserve">CRP </w:t>
      </w:r>
      <w:r w:rsidR="009C4CF0" w:rsidRPr="00563555">
        <w:rPr>
          <w:sz w:val="20"/>
          <w:szCs w:val="20"/>
        </w:rPr>
        <w:t>clients</w:t>
      </w:r>
      <w:r w:rsidR="00CC62B8" w:rsidRPr="00563555">
        <w:rPr>
          <w:sz w:val="20"/>
          <w:szCs w:val="20"/>
        </w:rPr>
        <w:t xml:space="preserve">, we </w:t>
      </w:r>
      <w:r w:rsidR="000A0B65" w:rsidRPr="00563555">
        <w:rPr>
          <w:sz w:val="20"/>
          <w:szCs w:val="20"/>
        </w:rPr>
        <w:t xml:space="preserve">believe </w:t>
      </w:r>
      <w:r w:rsidR="0010050F">
        <w:rPr>
          <w:sz w:val="20"/>
          <w:szCs w:val="20"/>
        </w:rPr>
        <w:t xml:space="preserve">it is </w:t>
      </w:r>
      <w:r w:rsidR="00D92051" w:rsidRPr="00563555">
        <w:rPr>
          <w:sz w:val="20"/>
          <w:szCs w:val="20"/>
        </w:rPr>
        <w:t>imperative</w:t>
      </w:r>
      <w:r w:rsidR="000A0B65" w:rsidRPr="00563555">
        <w:rPr>
          <w:sz w:val="20"/>
          <w:szCs w:val="20"/>
        </w:rPr>
        <w:t xml:space="preserve"> for our firms to analyze</w:t>
      </w:r>
      <w:r w:rsidR="004062A6" w:rsidRPr="00563555">
        <w:rPr>
          <w:sz w:val="20"/>
          <w:szCs w:val="20"/>
        </w:rPr>
        <w:t xml:space="preserve"> IAR activity </w:t>
      </w:r>
      <w:r w:rsidR="003A50EC" w:rsidRPr="00563555">
        <w:rPr>
          <w:sz w:val="20"/>
          <w:szCs w:val="20"/>
        </w:rPr>
        <w:t>to</w:t>
      </w:r>
      <w:r w:rsidR="004062A6" w:rsidRPr="00563555">
        <w:rPr>
          <w:sz w:val="20"/>
          <w:szCs w:val="20"/>
        </w:rPr>
        <w:t xml:space="preserve"> </w:t>
      </w:r>
      <w:r w:rsidR="00D92051" w:rsidRPr="00563555">
        <w:rPr>
          <w:sz w:val="20"/>
          <w:szCs w:val="20"/>
        </w:rPr>
        <w:t>determine exactly</w:t>
      </w:r>
      <w:r w:rsidR="00CC62B8" w:rsidRPr="00563555">
        <w:rPr>
          <w:sz w:val="20"/>
          <w:szCs w:val="20"/>
        </w:rPr>
        <w:t xml:space="preserve"> what services firms are providing to clients.  </w:t>
      </w:r>
    </w:p>
    <w:p w14:paraId="110C0055" w14:textId="77777777" w:rsidR="00AB6EDF" w:rsidRPr="00563555" w:rsidRDefault="00AB6EDF" w:rsidP="0026785C">
      <w:pPr>
        <w:rPr>
          <w:sz w:val="20"/>
          <w:szCs w:val="20"/>
        </w:rPr>
      </w:pPr>
    </w:p>
    <w:p w14:paraId="2E22D97C" w14:textId="6261388F" w:rsidR="00827541" w:rsidRPr="00563555" w:rsidRDefault="001619C3" w:rsidP="0026785C">
      <w:pPr>
        <w:rPr>
          <w:sz w:val="20"/>
          <w:szCs w:val="20"/>
        </w:rPr>
      </w:pPr>
      <w:r>
        <w:rPr>
          <w:sz w:val="20"/>
          <w:szCs w:val="20"/>
        </w:rPr>
        <w:t xml:space="preserve">During </w:t>
      </w:r>
      <w:r w:rsidR="00C84650">
        <w:rPr>
          <w:sz w:val="20"/>
          <w:szCs w:val="20"/>
        </w:rPr>
        <w:t>1st</w:t>
      </w:r>
      <w:r>
        <w:rPr>
          <w:sz w:val="20"/>
          <w:szCs w:val="20"/>
        </w:rPr>
        <w:t xml:space="preserve"> Quarter</w:t>
      </w:r>
      <w:r w:rsidR="00D23A1F" w:rsidRPr="00563555">
        <w:rPr>
          <w:sz w:val="20"/>
          <w:szCs w:val="20"/>
        </w:rPr>
        <w:t xml:space="preserve"> 2022, CRP </w:t>
      </w:r>
      <w:r w:rsidR="007E2923" w:rsidRPr="00563555">
        <w:rPr>
          <w:sz w:val="20"/>
          <w:szCs w:val="20"/>
        </w:rPr>
        <w:t>updated</w:t>
      </w:r>
      <w:r w:rsidR="00C84650">
        <w:rPr>
          <w:sz w:val="20"/>
          <w:szCs w:val="20"/>
        </w:rPr>
        <w:t xml:space="preserve"> the SAMPLE</w:t>
      </w:r>
      <w:r w:rsidR="00D23A1F" w:rsidRPr="00563555">
        <w:rPr>
          <w:sz w:val="20"/>
          <w:szCs w:val="20"/>
        </w:rPr>
        <w:t xml:space="preserve"> </w:t>
      </w:r>
      <w:r w:rsidR="007E2923" w:rsidRPr="00563555">
        <w:rPr>
          <w:sz w:val="20"/>
          <w:szCs w:val="20"/>
        </w:rPr>
        <w:t xml:space="preserve">policies and </w:t>
      </w:r>
      <w:r w:rsidR="00D23A1F" w:rsidRPr="00563555">
        <w:rPr>
          <w:sz w:val="20"/>
          <w:szCs w:val="20"/>
        </w:rPr>
        <w:t xml:space="preserve">procedures to </w:t>
      </w:r>
      <w:r w:rsidR="00A43721">
        <w:rPr>
          <w:sz w:val="20"/>
          <w:szCs w:val="20"/>
        </w:rPr>
        <w:t>outlin</w:t>
      </w:r>
      <w:r w:rsidR="005D2AB8">
        <w:rPr>
          <w:sz w:val="20"/>
          <w:szCs w:val="20"/>
        </w:rPr>
        <w:t xml:space="preserve">e </w:t>
      </w:r>
      <w:r w:rsidR="00E8504A">
        <w:rPr>
          <w:sz w:val="20"/>
          <w:szCs w:val="20"/>
        </w:rPr>
        <w:t xml:space="preserve">the two options firms </w:t>
      </w:r>
      <w:r w:rsidR="005012AB">
        <w:rPr>
          <w:sz w:val="20"/>
          <w:szCs w:val="20"/>
        </w:rPr>
        <w:t>are presented with in light of the new DOL PTE 2020-02.  F</w:t>
      </w:r>
      <w:r w:rsidR="00D23A1F" w:rsidRPr="00563555">
        <w:rPr>
          <w:sz w:val="20"/>
          <w:szCs w:val="20"/>
        </w:rPr>
        <w:t>irms</w:t>
      </w:r>
      <w:r w:rsidR="005012AB">
        <w:rPr>
          <w:sz w:val="20"/>
          <w:szCs w:val="20"/>
        </w:rPr>
        <w:t xml:space="preserve"> should</w:t>
      </w:r>
      <w:r w:rsidR="00D23A1F" w:rsidRPr="00563555">
        <w:rPr>
          <w:sz w:val="20"/>
          <w:szCs w:val="20"/>
        </w:rPr>
        <w:t xml:space="preserve"> review</w:t>
      </w:r>
      <w:r w:rsidR="0033504A" w:rsidRPr="00563555">
        <w:rPr>
          <w:sz w:val="20"/>
          <w:szCs w:val="20"/>
        </w:rPr>
        <w:t xml:space="preserve">, </w:t>
      </w:r>
      <w:r w:rsidR="00D23A1F" w:rsidRPr="00563555">
        <w:rPr>
          <w:sz w:val="20"/>
          <w:szCs w:val="20"/>
        </w:rPr>
        <w:t>implement</w:t>
      </w:r>
      <w:r w:rsidR="0033504A" w:rsidRPr="00563555">
        <w:rPr>
          <w:sz w:val="20"/>
          <w:szCs w:val="20"/>
        </w:rPr>
        <w:t xml:space="preserve">, </w:t>
      </w:r>
      <w:r w:rsidR="00D23A1F" w:rsidRPr="00563555">
        <w:rPr>
          <w:sz w:val="20"/>
          <w:szCs w:val="20"/>
        </w:rPr>
        <w:t xml:space="preserve">and work toward complying with the </w:t>
      </w:r>
      <w:r w:rsidR="00893E70">
        <w:rPr>
          <w:sz w:val="20"/>
          <w:szCs w:val="20"/>
        </w:rPr>
        <w:t>Prohibited Transaction.</w:t>
      </w:r>
      <w:r w:rsidR="00A26868" w:rsidRPr="00563555">
        <w:rPr>
          <w:sz w:val="20"/>
          <w:szCs w:val="20"/>
        </w:rPr>
        <w:t xml:space="preserve">  </w:t>
      </w:r>
      <w:r w:rsidR="00E64481" w:rsidRPr="00563555">
        <w:rPr>
          <w:sz w:val="20"/>
          <w:szCs w:val="20"/>
        </w:rPr>
        <w:t xml:space="preserve">Please read the attached policies and procedures </w:t>
      </w:r>
      <w:r w:rsidR="00FA2590" w:rsidRPr="00563555">
        <w:rPr>
          <w:sz w:val="20"/>
          <w:szCs w:val="20"/>
        </w:rPr>
        <w:t xml:space="preserve">for each option and complete the following steps for implementing </w:t>
      </w:r>
      <w:r w:rsidR="00333938">
        <w:rPr>
          <w:sz w:val="20"/>
          <w:szCs w:val="20"/>
        </w:rPr>
        <w:t>your Firm’s p</w:t>
      </w:r>
      <w:r w:rsidR="00A81768">
        <w:rPr>
          <w:sz w:val="20"/>
          <w:szCs w:val="20"/>
        </w:rPr>
        <w:t>olicy</w:t>
      </w:r>
      <w:r w:rsidR="00FA2590" w:rsidRPr="00563555">
        <w:rPr>
          <w:sz w:val="20"/>
          <w:szCs w:val="20"/>
        </w:rPr>
        <w:t>:</w:t>
      </w:r>
    </w:p>
    <w:p w14:paraId="43B9A516" w14:textId="77777777" w:rsidR="00827541" w:rsidRPr="00841FDF" w:rsidRDefault="00827541" w:rsidP="0026785C">
      <w:pPr>
        <w:rPr>
          <w:color w:val="000000" w:themeColor="text1"/>
          <w:sz w:val="20"/>
          <w:szCs w:val="20"/>
        </w:rPr>
      </w:pPr>
    </w:p>
    <w:p w14:paraId="56A6EB4B" w14:textId="77777777" w:rsidR="00A26868" w:rsidRDefault="004B17DF" w:rsidP="005C4CED">
      <w:pPr>
        <w:pStyle w:val="ListParagraph"/>
        <w:numPr>
          <w:ilvl w:val="0"/>
          <w:numId w:val="10"/>
        </w:numPr>
        <w:rPr>
          <w:rStyle w:val="Hyperlink"/>
          <w:b/>
          <w:color w:val="000000" w:themeColor="text1"/>
          <w:szCs w:val="20"/>
        </w:rPr>
      </w:pPr>
      <w:r w:rsidRPr="00A80F52">
        <w:rPr>
          <w:b/>
          <w:color w:val="C00000"/>
          <w:sz w:val="20"/>
          <w:szCs w:val="20"/>
        </w:rPr>
        <w:t>OPTION 1</w:t>
      </w:r>
      <w:r w:rsidRPr="00841FDF">
        <w:rPr>
          <w:color w:val="000000" w:themeColor="text1"/>
          <w:sz w:val="20"/>
          <w:szCs w:val="20"/>
        </w:rPr>
        <w:t>:</w:t>
      </w:r>
      <w:r w:rsidRPr="00A655FB">
        <w:rPr>
          <w:b/>
          <w:color w:val="000000" w:themeColor="text1"/>
          <w:sz w:val="20"/>
          <w:szCs w:val="20"/>
        </w:rPr>
        <w:t xml:space="preserve"> </w:t>
      </w:r>
      <w:hyperlink w:anchor="_INVESTMENT_ADVICE_AND" w:history="1">
        <w:r w:rsidR="00A26868" w:rsidRPr="00A655FB">
          <w:rPr>
            <w:rStyle w:val="Hyperlink"/>
            <w:b/>
            <w:color w:val="000000" w:themeColor="text1"/>
            <w:sz w:val="20"/>
            <w:szCs w:val="20"/>
          </w:rPr>
          <w:t>Investment Advice and Rollover Recommendations</w:t>
        </w:r>
      </w:hyperlink>
    </w:p>
    <w:p w14:paraId="76EED129" w14:textId="77777777" w:rsidR="004B17DF" w:rsidRPr="00A80F52" w:rsidRDefault="004B17DF" w:rsidP="004B17DF">
      <w:pPr>
        <w:pStyle w:val="ListParagraph"/>
        <w:rPr>
          <w:b/>
          <w:color w:val="000000" w:themeColor="text1"/>
          <w:sz w:val="20"/>
          <w:szCs w:val="20"/>
          <w:u w:val="single"/>
        </w:rPr>
      </w:pPr>
    </w:p>
    <w:p w14:paraId="206B2A50" w14:textId="6B207920" w:rsidR="00A26868" w:rsidRPr="00841FDF" w:rsidRDefault="0081769D" w:rsidP="00FB5700">
      <w:pPr>
        <w:pStyle w:val="ListParagraph"/>
        <w:numPr>
          <w:ilvl w:val="0"/>
          <w:numId w:val="12"/>
        </w:numPr>
        <w:spacing w:after="120"/>
        <w:contextualSpacing w:val="0"/>
        <w:rPr>
          <w:color w:val="000000" w:themeColor="text1"/>
          <w:sz w:val="20"/>
          <w:szCs w:val="20"/>
        </w:rPr>
      </w:pPr>
      <w:r w:rsidRPr="00841FDF">
        <w:rPr>
          <w:color w:val="000000" w:themeColor="text1"/>
          <w:sz w:val="20"/>
          <w:szCs w:val="20"/>
        </w:rPr>
        <w:t xml:space="preserve">Review </w:t>
      </w:r>
      <w:r w:rsidR="004B17DF" w:rsidRPr="00841FDF">
        <w:rPr>
          <w:color w:val="000000" w:themeColor="text1"/>
          <w:sz w:val="20"/>
          <w:szCs w:val="20"/>
        </w:rPr>
        <w:t>CRP’s</w:t>
      </w:r>
      <w:r w:rsidR="00A353E1" w:rsidRPr="00841FDF">
        <w:rPr>
          <w:color w:val="000000" w:themeColor="text1"/>
          <w:sz w:val="20"/>
          <w:szCs w:val="20"/>
        </w:rPr>
        <w:t xml:space="preserve"> updated</w:t>
      </w:r>
      <w:r w:rsidR="007C1DAD" w:rsidRPr="00841FDF">
        <w:rPr>
          <w:color w:val="000000" w:themeColor="text1"/>
          <w:sz w:val="20"/>
          <w:szCs w:val="20"/>
        </w:rPr>
        <w:t xml:space="preserve"> polic</w:t>
      </w:r>
      <w:r w:rsidR="00A353E1" w:rsidRPr="00841FDF">
        <w:rPr>
          <w:color w:val="000000" w:themeColor="text1"/>
          <w:sz w:val="20"/>
          <w:szCs w:val="20"/>
        </w:rPr>
        <w:t>i</w:t>
      </w:r>
      <w:r w:rsidR="007C1DAD" w:rsidRPr="00841FDF">
        <w:rPr>
          <w:color w:val="000000" w:themeColor="text1"/>
          <w:sz w:val="20"/>
          <w:szCs w:val="20"/>
        </w:rPr>
        <w:t>es and procedures</w:t>
      </w:r>
      <w:r w:rsidR="00A43721" w:rsidRPr="00841FDF">
        <w:rPr>
          <w:color w:val="000000" w:themeColor="text1"/>
          <w:sz w:val="20"/>
          <w:szCs w:val="20"/>
        </w:rPr>
        <w:t xml:space="preserve"> </w:t>
      </w:r>
      <w:r w:rsidR="004B17DF" w:rsidRPr="00841FDF">
        <w:rPr>
          <w:color w:val="000000" w:themeColor="text1"/>
          <w:sz w:val="20"/>
          <w:szCs w:val="20"/>
        </w:rPr>
        <w:t xml:space="preserve">as outlined </w:t>
      </w:r>
      <w:r w:rsidR="00A43721" w:rsidRPr="00841FDF">
        <w:rPr>
          <w:color w:val="000000" w:themeColor="text1"/>
          <w:sz w:val="20"/>
          <w:szCs w:val="20"/>
        </w:rPr>
        <w:t xml:space="preserve">below </w:t>
      </w:r>
      <w:r w:rsidR="007C1DAD" w:rsidRPr="00841FDF">
        <w:rPr>
          <w:color w:val="000000" w:themeColor="text1"/>
          <w:sz w:val="20"/>
          <w:szCs w:val="20"/>
        </w:rPr>
        <w:t>to</w:t>
      </w:r>
      <w:r w:rsidRPr="00841FDF">
        <w:rPr>
          <w:color w:val="000000" w:themeColor="text1"/>
          <w:sz w:val="20"/>
          <w:szCs w:val="20"/>
        </w:rPr>
        <w:t xml:space="preserve"> determine if the f</w:t>
      </w:r>
      <w:r w:rsidR="007C1DAD" w:rsidRPr="00841FDF">
        <w:rPr>
          <w:color w:val="000000" w:themeColor="text1"/>
          <w:sz w:val="20"/>
          <w:szCs w:val="20"/>
        </w:rPr>
        <w:t>i</w:t>
      </w:r>
      <w:r w:rsidRPr="00841FDF">
        <w:rPr>
          <w:color w:val="000000" w:themeColor="text1"/>
          <w:sz w:val="20"/>
          <w:szCs w:val="20"/>
        </w:rPr>
        <w:t xml:space="preserve">rm is providing </w:t>
      </w:r>
      <w:r w:rsidR="00A43721" w:rsidRPr="00841FDF">
        <w:rPr>
          <w:color w:val="000000" w:themeColor="text1"/>
          <w:sz w:val="20"/>
          <w:szCs w:val="20"/>
        </w:rPr>
        <w:t>“</w:t>
      </w:r>
      <w:r w:rsidRPr="00841FDF">
        <w:rPr>
          <w:color w:val="000000" w:themeColor="text1"/>
          <w:sz w:val="20"/>
          <w:szCs w:val="20"/>
        </w:rPr>
        <w:t xml:space="preserve">investment advice and </w:t>
      </w:r>
      <w:r w:rsidR="007C1DAD" w:rsidRPr="00841FDF">
        <w:rPr>
          <w:color w:val="000000" w:themeColor="text1"/>
          <w:sz w:val="20"/>
          <w:szCs w:val="20"/>
        </w:rPr>
        <w:t>recommendations</w:t>
      </w:r>
      <w:r w:rsidR="00A43721" w:rsidRPr="00841FDF">
        <w:rPr>
          <w:color w:val="000000" w:themeColor="text1"/>
          <w:sz w:val="20"/>
          <w:szCs w:val="20"/>
        </w:rPr>
        <w:t>”</w:t>
      </w:r>
      <w:r w:rsidR="007C1DAD" w:rsidRPr="00841FDF">
        <w:rPr>
          <w:color w:val="000000" w:themeColor="text1"/>
          <w:sz w:val="20"/>
          <w:szCs w:val="20"/>
        </w:rPr>
        <w:t>.</w:t>
      </w:r>
      <w:r w:rsidR="00A43721" w:rsidRPr="00841FDF">
        <w:rPr>
          <w:color w:val="000000" w:themeColor="text1"/>
          <w:sz w:val="20"/>
          <w:szCs w:val="20"/>
        </w:rPr>
        <w:t xml:space="preserve"> (</w:t>
      </w:r>
      <w:r w:rsidR="00A43721" w:rsidRPr="00841FDF">
        <w:rPr>
          <w:i/>
          <w:color w:val="000000" w:themeColor="text1"/>
          <w:sz w:val="20"/>
          <w:szCs w:val="20"/>
        </w:rPr>
        <w:t>Page 2-5</w:t>
      </w:r>
      <w:r w:rsidR="00DC494C" w:rsidRPr="00841FDF">
        <w:rPr>
          <w:i/>
          <w:color w:val="000000" w:themeColor="text1"/>
          <w:sz w:val="20"/>
          <w:szCs w:val="20"/>
        </w:rPr>
        <w:t xml:space="preserve"> below</w:t>
      </w:r>
      <w:r w:rsidR="00A43721" w:rsidRPr="00841FDF">
        <w:rPr>
          <w:color w:val="000000" w:themeColor="text1"/>
          <w:sz w:val="20"/>
          <w:szCs w:val="20"/>
        </w:rPr>
        <w:t>)</w:t>
      </w:r>
      <w:r w:rsidR="00DC494C" w:rsidRPr="00841FDF">
        <w:rPr>
          <w:color w:val="000000" w:themeColor="text1"/>
          <w:sz w:val="20"/>
          <w:szCs w:val="20"/>
        </w:rPr>
        <w:t>.</w:t>
      </w:r>
    </w:p>
    <w:p w14:paraId="4B8E8AF0" w14:textId="30187B5A" w:rsidR="00E36C1E" w:rsidRPr="00841FDF" w:rsidRDefault="00E36C1E" w:rsidP="00FB5700">
      <w:pPr>
        <w:pStyle w:val="ListParagraph"/>
        <w:numPr>
          <w:ilvl w:val="0"/>
          <w:numId w:val="12"/>
        </w:numPr>
        <w:spacing w:after="120"/>
        <w:contextualSpacing w:val="0"/>
        <w:rPr>
          <w:color w:val="000000" w:themeColor="text1"/>
          <w:sz w:val="20"/>
          <w:szCs w:val="20"/>
        </w:rPr>
      </w:pPr>
      <w:r w:rsidRPr="00841FDF">
        <w:rPr>
          <w:color w:val="000000" w:themeColor="text1"/>
          <w:sz w:val="20"/>
          <w:szCs w:val="20"/>
        </w:rPr>
        <w:t>Copy</w:t>
      </w:r>
      <w:r w:rsidR="004A12CD" w:rsidRPr="00841FDF">
        <w:rPr>
          <w:color w:val="000000" w:themeColor="text1"/>
          <w:sz w:val="20"/>
          <w:szCs w:val="20"/>
        </w:rPr>
        <w:t>/</w:t>
      </w:r>
      <w:r w:rsidRPr="00841FDF">
        <w:rPr>
          <w:color w:val="000000" w:themeColor="text1"/>
          <w:sz w:val="20"/>
          <w:szCs w:val="20"/>
        </w:rPr>
        <w:t xml:space="preserve">paste </w:t>
      </w:r>
      <w:r w:rsidR="00C66A3C" w:rsidRPr="00841FDF">
        <w:rPr>
          <w:color w:val="000000" w:themeColor="text1"/>
          <w:sz w:val="20"/>
          <w:szCs w:val="20"/>
        </w:rPr>
        <w:t xml:space="preserve">the </w:t>
      </w:r>
      <w:r w:rsidRPr="00841FDF">
        <w:rPr>
          <w:color w:val="000000" w:themeColor="text1"/>
          <w:sz w:val="20"/>
          <w:szCs w:val="20"/>
        </w:rPr>
        <w:t xml:space="preserve">attached </w:t>
      </w:r>
      <w:r w:rsidR="00F15F26" w:rsidRPr="00841FDF">
        <w:rPr>
          <w:color w:val="000000" w:themeColor="text1"/>
          <w:sz w:val="20"/>
          <w:szCs w:val="20"/>
        </w:rPr>
        <w:t>“</w:t>
      </w:r>
      <w:r w:rsidR="00F15F26" w:rsidRPr="00841FDF">
        <w:rPr>
          <w:b/>
          <w:color w:val="000000" w:themeColor="text1"/>
          <w:sz w:val="20"/>
          <w:szCs w:val="20"/>
        </w:rPr>
        <w:t>Investment Advice and Rollover Recommendations</w:t>
      </w:r>
      <w:r w:rsidR="00F15F26" w:rsidRPr="00841FDF">
        <w:rPr>
          <w:color w:val="000000" w:themeColor="text1"/>
          <w:sz w:val="20"/>
          <w:szCs w:val="20"/>
        </w:rPr>
        <w:t xml:space="preserve">” </w:t>
      </w:r>
      <w:r w:rsidRPr="00841FDF">
        <w:rPr>
          <w:color w:val="000000" w:themeColor="text1"/>
          <w:sz w:val="20"/>
          <w:szCs w:val="20"/>
        </w:rPr>
        <w:t>polic</w:t>
      </w:r>
      <w:r w:rsidR="00D2137E" w:rsidRPr="00841FDF">
        <w:rPr>
          <w:color w:val="000000" w:themeColor="text1"/>
          <w:sz w:val="20"/>
          <w:szCs w:val="20"/>
        </w:rPr>
        <w:t xml:space="preserve">ies and </w:t>
      </w:r>
      <w:r w:rsidR="003218E3" w:rsidRPr="00841FDF">
        <w:rPr>
          <w:color w:val="000000" w:themeColor="text1"/>
          <w:sz w:val="20"/>
          <w:szCs w:val="20"/>
        </w:rPr>
        <w:t>procedures</w:t>
      </w:r>
      <w:r w:rsidRPr="00841FDF">
        <w:rPr>
          <w:color w:val="000000" w:themeColor="text1"/>
          <w:sz w:val="20"/>
          <w:szCs w:val="20"/>
        </w:rPr>
        <w:t xml:space="preserve"> into your most recent compliance manual.</w:t>
      </w:r>
      <w:r w:rsidR="006476C6" w:rsidRPr="00841FDF">
        <w:rPr>
          <w:color w:val="000000" w:themeColor="text1"/>
          <w:sz w:val="20"/>
          <w:szCs w:val="20"/>
        </w:rPr>
        <w:t xml:space="preserve"> </w:t>
      </w:r>
      <w:r w:rsidR="00734DA5">
        <w:rPr>
          <w:color w:val="000000" w:themeColor="text1"/>
          <w:sz w:val="20"/>
          <w:szCs w:val="20"/>
        </w:rPr>
        <w:t>Replace existing language.</w:t>
      </w:r>
    </w:p>
    <w:p w14:paraId="1DA1977F" w14:textId="02687BC0" w:rsidR="00B14239" w:rsidRPr="00841FDF" w:rsidRDefault="00F96630" w:rsidP="00FB5700">
      <w:pPr>
        <w:pStyle w:val="ListParagraph"/>
        <w:numPr>
          <w:ilvl w:val="0"/>
          <w:numId w:val="12"/>
        </w:numPr>
        <w:spacing w:after="120"/>
        <w:contextualSpacing w:val="0"/>
        <w:rPr>
          <w:color w:val="000000" w:themeColor="text1"/>
          <w:sz w:val="20"/>
          <w:szCs w:val="20"/>
        </w:rPr>
      </w:pPr>
      <w:r w:rsidRPr="00841FDF">
        <w:rPr>
          <w:color w:val="000000" w:themeColor="text1"/>
          <w:sz w:val="20"/>
          <w:szCs w:val="20"/>
        </w:rPr>
        <w:t>Review and c</w:t>
      </w:r>
      <w:r w:rsidR="00B14239" w:rsidRPr="00841FDF">
        <w:rPr>
          <w:color w:val="000000" w:themeColor="text1"/>
          <w:sz w:val="20"/>
          <w:szCs w:val="20"/>
        </w:rPr>
        <w:t xml:space="preserve">onfirm disclosure </w:t>
      </w:r>
      <w:r w:rsidR="00EB6B4D" w:rsidRPr="00841FDF">
        <w:rPr>
          <w:color w:val="000000" w:themeColor="text1"/>
          <w:sz w:val="20"/>
          <w:szCs w:val="20"/>
        </w:rPr>
        <w:t>have</w:t>
      </w:r>
      <w:r w:rsidR="00B14239" w:rsidRPr="00841FDF">
        <w:rPr>
          <w:color w:val="000000" w:themeColor="text1"/>
          <w:sz w:val="20"/>
          <w:szCs w:val="20"/>
        </w:rPr>
        <w:t xml:space="preserve"> been </w:t>
      </w:r>
      <w:r w:rsidR="00DC558A" w:rsidRPr="00841FDF">
        <w:rPr>
          <w:color w:val="000000" w:themeColor="text1"/>
          <w:sz w:val="20"/>
          <w:szCs w:val="20"/>
        </w:rPr>
        <w:t xml:space="preserve">made and/or </w:t>
      </w:r>
      <w:r w:rsidR="00B14239" w:rsidRPr="00841FDF">
        <w:rPr>
          <w:color w:val="000000" w:themeColor="text1"/>
          <w:sz w:val="20"/>
          <w:szCs w:val="20"/>
        </w:rPr>
        <w:t xml:space="preserve">updated </w:t>
      </w:r>
      <w:r w:rsidR="00DF527B" w:rsidRPr="00841FDF">
        <w:rPr>
          <w:color w:val="000000" w:themeColor="text1"/>
          <w:sz w:val="20"/>
          <w:szCs w:val="20"/>
        </w:rPr>
        <w:t>through our ADV Part 2A</w:t>
      </w:r>
      <w:r w:rsidR="00FB5700" w:rsidRPr="00841FDF">
        <w:rPr>
          <w:color w:val="000000" w:themeColor="text1"/>
          <w:sz w:val="20"/>
          <w:szCs w:val="20"/>
        </w:rPr>
        <w:t>.</w:t>
      </w:r>
      <w:r w:rsidRPr="00841FDF">
        <w:rPr>
          <w:color w:val="000000" w:themeColor="text1"/>
          <w:sz w:val="20"/>
          <w:szCs w:val="20"/>
        </w:rPr>
        <w:t xml:space="preserve">  If not, please contact CRP </w:t>
      </w:r>
      <w:r w:rsidR="00EB6B4D" w:rsidRPr="00841FDF">
        <w:rPr>
          <w:color w:val="000000" w:themeColor="text1"/>
          <w:sz w:val="20"/>
          <w:szCs w:val="20"/>
        </w:rPr>
        <w:t xml:space="preserve">to include it on the firm’s </w:t>
      </w:r>
      <w:r w:rsidR="00C43CC2" w:rsidRPr="00841FDF">
        <w:rPr>
          <w:color w:val="000000" w:themeColor="text1"/>
          <w:sz w:val="20"/>
          <w:szCs w:val="20"/>
        </w:rPr>
        <w:t xml:space="preserve">2022 </w:t>
      </w:r>
      <w:r w:rsidR="00EB6B4D" w:rsidRPr="00841FDF">
        <w:rPr>
          <w:color w:val="000000" w:themeColor="text1"/>
          <w:sz w:val="20"/>
          <w:szCs w:val="20"/>
        </w:rPr>
        <w:t>Annual Amendment</w:t>
      </w:r>
      <w:r w:rsidR="00C43CC2" w:rsidRPr="00841FDF">
        <w:rPr>
          <w:color w:val="000000" w:themeColor="text1"/>
          <w:sz w:val="20"/>
          <w:szCs w:val="20"/>
        </w:rPr>
        <w:t xml:space="preserve"> filing.</w:t>
      </w:r>
    </w:p>
    <w:p w14:paraId="50149350" w14:textId="72EE2CAD" w:rsidR="00670392" w:rsidRPr="00841FDF" w:rsidRDefault="00670392" w:rsidP="00FB5700">
      <w:pPr>
        <w:pStyle w:val="ListParagraph"/>
        <w:numPr>
          <w:ilvl w:val="0"/>
          <w:numId w:val="12"/>
        </w:numPr>
        <w:spacing w:after="120"/>
        <w:contextualSpacing w:val="0"/>
        <w:rPr>
          <w:color w:val="000000" w:themeColor="text1"/>
          <w:sz w:val="20"/>
          <w:szCs w:val="20"/>
        </w:rPr>
      </w:pPr>
      <w:r w:rsidRPr="00841FDF">
        <w:rPr>
          <w:color w:val="000000" w:themeColor="text1"/>
          <w:sz w:val="20"/>
          <w:szCs w:val="20"/>
        </w:rPr>
        <w:t xml:space="preserve">Implement </w:t>
      </w:r>
      <w:r w:rsidR="00D2137E" w:rsidRPr="00841FDF">
        <w:rPr>
          <w:color w:val="000000" w:themeColor="text1"/>
          <w:sz w:val="20"/>
          <w:szCs w:val="20"/>
        </w:rPr>
        <w:t xml:space="preserve">and train IAR’s on the </w:t>
      </w:r>
      <w:r w:rsidR="00EB6B4D" w:rsidRPr="00841FDF">
        <w:rPr>
          <w:color w:val="000000" w:themeColor="text1"/>
          <w:sz w:val="20"/>
          <w:szCs w:val="20"/>
        </w:rPr>
        <w:t xml:space="preserve">new </w:t>
      </w:r>
      <w:r w:rsidR="00D2137E" w:rsidRPr="00841FDF">
        <w:rPr>
          <w:color w:val="000000" w:themeColor="text1"/>
          <w:sz w:val="20"/>
          <w:szCs w:val="20"/>
        </w:rPr>
        <w:t xml:space="preserve">documentation </w:t>
      </w:r>
      <w:r w:rsidR="003218E3" w:rsidRPr="00841FDF">
        <w:rPr>
          <w:color w:val="000000" w:themeColor="text1"/>
          <w:sz w:val="20"/>
          <w:szCs w:val="20"/>
        </w:rPr>
        <w:t>requirement</w:t>
      </w:r>
      <w:r w:rsidR="00891645" w:rsidRPr="00841FDF">
        <w:rPr>
          <w:color w:val="000000" w:themeColor="text1"/>
          <w:sz w:val="20"/>
          <w:szCs w:val="20"/>
        </w:rPr>
        <w:t>, which includes the</w:t>
      </w:r>
      <w:r w:rsidR="003218E3" w:rsidRPr="00841FDF">
        <w:rPr>
          <w:color w:val="000000" w:themeColor="text1"/>
          <w:sz w:val="20"/>
          <w:szCs w:val="20"/>
        </w:rPr>
        <w:t xml:space="preserve"> attached</w:t>
      </w:r>
      <w:r w:rsidRPr="00841FDF">
        <w:rPr>
          <w:color w:val="000000" w:themeColor="text1"/>
          <w:sz w:val="20"/>
          <w:szCs w:val="20"/>
        </w:rPr>
        <w:t xml:space="preserve"> </w:t>
      </w:r>
      <w:r w:rsidR="00706E33" w:rsidRPr="00841FDF">
        <w:rPr>
          <w:color w:val="000000" w:themeColor="text1"/>
          <w:sz w:val="20"/>
          <w:szCs w:val="20"/>
        </w:rPr>
        <w:t>“</w:t>
      </w:r>
      <w:r w:rsidR="00FD6990" w:rsidRPr="00841FDF">
        <w:rPr>
          <w:b/>
          <w:color w:val="000000" w:themeColor="text1"/>
          <w:sz w:val="20"/>
          <w:szCs w:val="20"/>
        </w:rPr>
        <w:t xml:space="preserve">IRA </w:t>
      </w:r>
      <w:r w:rsidRPr="00841FDF">
        <w:rPr>
          <w:b/>
          <w:color w:val="000000" w:themeColor="text1"/>
          <w:sz w:val="20"/>
          <w:szCs w:val="20"/>
        </w:rPr>
        <w:t>Rollover</w:t>
      </w:r>
      <w:r w:rsidR="004B4FC6" w:rsidRPr="00841FDF">
        <w:rPr>
          <w:b/>
          <w:color w:val="000000" w:themeColor="text1"/>
          <w:sz w:val="20"/>
          <w:szCs w:val="20"/>
        </w:rPr>
        <w:t xml:space="preserve"> Worksheet</w:t>
      </w:r>
      <w:r w:rsidR="00FD6990" w:rsidRPr="00841FDF">
        <w:rPr>
          <w:b/>
          <w:color w:val="000000" w:themeColor="text1"/>
          <w:sz w:val="20"/>
          <w:szCs w:val="20"/>
        </w:rPr>
        <w:t xml:space="preserve"> </w:t>
      </w:r>
      <w:r w:rsidR="004B4FC6" w:rsidRPr="00841FDF">
        <w:rPr>
          <w:b/>
          <w:color w:val="000000" w:themeColor="text1"/>
          <w:sz w:val="20"/>
          <w:szCs w:val="20"/>
        </w:rPr>
        <w:t>–</w:t>
      </w:r>
      <w:r w:rsidR="00FD6990" w:rsidRPr="00841FDF">
        <w:rPr>
          <w:b/>
          <w:color w:val="000000" w:themeColor="text1"/>
          <w:sz w:val="20"/>
          <w:szCs w:val="20"/>
        </w:rPr>
        <w:t xml:space="preserve"> Comp</w:t>
      </w:r>
      <w:r w:rsidR="004B4FC6" w:rsidRPr="00841FDF">
        <w:rPr>
          <w:b/>
          <w:color w:val="000000" w:themeColor="text1"/>
          <w:sz w:val="20"/>
          <w:szCs w:val="20"/>
        </w:rPr>
        <w:t xml:space="preserve">rehensive </w:t>
      </w:r>
      <w:r w:rsidRPr="00841FDF">
        <w:rPr>
          <w:b/>
          <w:color w:val="000000" w:themeColor="text1"/>
          <w:sz w:val="20"/>
          <w:szCs w:val="20"/>
        </w:rPr>
        <w:t>Analysis</w:t>
      </w:r>
      <w:r w:rsidR="00706E33" w:rsidRPr="00841FDF">
        <w:rPr>
          <w:color w:val="000000" w:themeColor="text1"/>
          <w:sz w:val="20"/>
          <w:szCs w:val="20"/>
        </w:rPr>
        <w:t>”</w:t>
      </w:r>
      <w:r w:rsidRPr="00841FDF">
        <w:rPr>
          <w:color w:val="000000" w:themeColor="text1"/>
          <w:sz w:val="20"/>
          <w:szCs w:val="20"/>
        </w:rPr>
        <w:t xml:space="preserve"> form.</w:t>
      </w:r>
      <w:r w:rsidR="008679C0" w:rsidRPr="00841FDF">
        <w:rPr>
          <w:color w:val="000000" w:themeColor="text1"/>
          <w:sz w:val="20"/>
          <w:szCs w:val="20"/>
        </w:rPr>
        <w:t xml:space="preserve"> (</w:t>
      </w:r>
      <w:r w:rsidR="008679C0" w:rsidRPr="00841FDF">
        <w:rPr>
          <w:i/>
          <w:color w:val="000000" w:themeColor="text1"/>
          <w:sz w:val="20"/>
          <w:szCs w:val="20"/>
        </w:rPr>
        <w:t>Stay tuned to February’s This Month Resource for sample training content</w:t>
      </w:r>
      <w:r w:rsidR="008679C0" w:rsidRPr="00841FDF">
        <w:rPr>
          <w:color w:val="000000" w:themeColor="text1"/>
          <w:sz w:val="20"/>
          <w:szCs w:val="20"/>
        </w:rPr>
        <w:t>)</w:t>
      </w:r>
    </w:p>
    <w:p w14:paraId="620A2B2B" w14:textId="21AD1660" w:rsidR="00841930" w:rsidRPr="00A96CE7" w:rsidRDefault="001868D5" w:rsidP="00A96CE7">
      <w:pPr>
        <w:pStyle w:val="ListParagraph"/>
        <w:numPr>
          <w:ilvl w:val="0"/>
          <w:numId w:val="12"/>
        </w:numPr>
        <w:spacing w:after="120"/>
        <w:contextualSpacing w:val="0"/>
        <w:rPr>
          <w:b/>
          <w:color w:val="000000" w:themeColor="text1"/>
          <w:sz w:val="20"/>
          <w:szCs w:val="20"/>
        </w:rPr>
      </w:pPr>
      <w:r>
        <w:rPr>
          <w:color w:val="000000" w:themeColor="text1"/>
          <w:sz w:val="20"/>
          <w:szCs w:val="20"/>
        </w:rPr>
        <w:t>For unsolicited transactions, i</w:t>
      </w:r>
      <w:r w:rsidRPr="00DF527B">
        <w:rPr>
          <w:color w:val="000000" w:themeColor="text1"/>
          <w:sz w:val="20"/>
          <w:szCs w:val="20"/>
        </w:rPr>
        <w:t>mplement and train IAR’s on the documentation requirement</w:t>
      </w:r>
      <w:r>
        <w:rPr>
          <w:color w:val="000000" w:themeColor="text1"/>
          <w:sz w:val="20"/>
          <w:szCs w:val="20"/>
        </w:rPr>
        <w:t>, which includes the</w:t>
      </w:r>
      <w:r w:rsidRPr="00DF527B">
        <w:rPr>
          <w:color w:val="000000" w:themeColor="text1"/>
          <w:sz w:val="20"/>
          <w:szCs w:val="20"/>
        </w:rPr>
        <w:t xml:space="preserve"> attached </w:t>
      </w:r>
      <w:r w:rsidR="00A57C6E" w:rsidRPr="00E83F6F">
        <w:rPr>
          <w:color w:val="000000" w:themeColor="text1"/>
          <w:sz w:val="20"/>
          <w:szCs w:val="20"/>
        </w:rPr>
        <w:t>“</w:t>
      </w:r>
      <w:r w:rsidRPr="00E83F6F">
        <w:rPr>
          <w:b/>
          <w:color w:val="000000" w:themeColor="text1"/>
          <w:sz w:val="20"/>
          <w:szCs w:val="20"/>
        </w:rPr>
        <w:t xml:space="preserve">Unsolicited </w:t>
      </w:r>
      <w:r w:rsidR="00E83F6F" w:rsidRPr="00E83F6F">
        <w:rPr>
          <w:b/>
          <w:bCs/>
          <w:color w:val="000000" w:themeColor="text1"/>
          <w:sz w:val="20"/>
          <w:szCs w:val="20"/>
        </w:rPr>
        <w:t>Transactions</w:t>
      </w:r>
      <w:r w:rsidRPr="00E83F6F">
        <w:rPr>
          <w:b/>
          <w:color w:val="000000" w:themeColor="text1"/>
          <w:sz w:val="20"/>
          <w:szCs w:val="20"/>
        </w:rPr>
        <w:t xml:space="preserve"> - Client Attestation</w:t>
      </w:r>
      <w:r w:rsidR="00E83F6F" w:rsidRPr="00E83F6F">
        <w:rPr>
          <w:b/>
          <w:bCs/>
          <w:color w:val="000000" w:themeColor="text1"/>
          <w:sz w:val="20"/>
          <w:szCs w:val="20"/>
        </w:rPr>
        <w:t>”</w:t>
      </w:r>
      <w:r w:rsidRPr="00DF527B">
        <w:rPr>
          <w:color w:val="000000" w:themeColor="text1"/>
          <w:sz w:val="20"/>
          <w:szCs w:val="20"/>
        </w:rPr>
        <w:t xml:space="preserve"> form.</w:t>
      </w:r>
    </w:p>
    <w:p w14:paraId="3AB63500" w14:textId="00D6D69E" w:rsidR="00841930" w:rsidRPr="0075493E" w:rsidRDefault="00FB5700" w:rsidP="00FB5700">
      <w:pPr>
        <w:rPr>
          <w:b/>
          <w:color w:val="C00000"/>
          <w:sz w:val="20"/>
          <w:szCs w:val="20"/>
        </w:rPr>
      </w:pPr>
      <w:r w:rsidRPr="004078C8">
        <w:rPr>
          <w:b/>
          <w:color w:val="C00000"/>
          <w:sz w:val="20"/>
          <w:szCs w:val="20"/>
        </w:rPr>
        <w:t xml:space="preserve">- </w:t>
      </w:r>
      <w:r w:rsidR="00841930" w:rsidRPr="00E83F6F">
        <w:rPr>
          <w:b/>
          <w:color w:val="C00000"/>
          <w:sz w:val="20"/>
          <w:szCs w:val="20"/>
        </w:rPr>
        <w:t>OR</w:t>
      </w:r>
      <w:r w:rsidR="00841930" w:rsidRPr="0075493E">
        <w:rPr>
          <w:b/>
          <w:color w:val="C00000"/>
          <w:sz w:val="20"/>
          <w:szCs w:val="20"/>
        </w:rPr>
        <w:t xml:space="preserve"> </w:t>
      </w:r>
      <w:r>
        <w:rPr>
          <w:b/>
          <w:color w:val="C00000"/>
          <w:sz w:val="20"/>
          <w:szCs w:val="20"/>
        </w:rPr>
        <w:t>–</w:t>
      </w:r>
      <w:r w:rsidRPr="004078C8">
        <w:rPr>
          <w:b/>
          <w:color w:val="C00000"/>
          <w:sz w:val="20"/>
          <w:szCs w:val="20"/>
        </w:rPr>
        <w:t xml:space="preserve"> </w:t>
      </w:r>
    </w:p>
    <w:p w14:paraId="09BF6CBA" w14:textId="77777777" w:rsidR="007C1DAD" w:rsidRPr="004078C8" w:rsidRDefault="007C1DAD" w:rsidP="00FB5700">
      <w:pPr>
        <w:pStyle w:val="ListParagraph"/>
        <w:rPr>
          <w:b/>
          <w:color w:val="000000" w:themeColor="text1"/>
          <w:sz w:val="20"/>
          <w:szCs w:val="20"/>
        </w:rPr>
      </w:pPr>
    </w:p>
    <w:p w14:paraId="42B4D36C" w14:textId="11E1B6BB" w:rsidR="00A26868" w:rsidRDefault="00F823B8" w:rsidP="005C4CED">
      <w:pPr>
        <w:pStyle w:val="ListParagraph"/>
        <w:numPr>
          <w:ilvl w:val="0"/>
          <w:numId w:val="10"/>
        </w:numPr>
        <w:rPr>
          <w:b/>
          <w:color w:val="000000" w:themeColor="text1"/>
          <w:sz w:val="20"/>
          <w:szCs w:val="20"/>
        </w:rPr>
      </w:pPr>
      <w:r w:rsidRPr="00A80F52">
        <w:rPr>
          <w:b/>
          <w:color w:val="C00000"/>
          <w:sz w:val="20"/>
          <w:szCs w:val="20"/>
        </w:rPr>
        <w:t>OPTION 2:</w:t>
      </w:r>
      <w:r w:rsidRPr="00A80F52">
        <w:rPr>
          <w:color w:val="C00000"/>
          <w:sz w:val="20"/>
          <w:szCs w:val="20"/>
        </w:rPr>
        <w:t xml:space="preserve"> </w:t>
      </w:r>
      <w:hyperlink w:anchor="_INVESTMENT_EDUCATION" w:history="1">
        <w:r w:rsidR="00A26868" w:rsidRPr="00A655FB">
          <w:rPr>
            <w:rStyle w:val="Hyperlink"/>
            <w:b/>
            <w:color w:val="000000" w:themeColor="text1"/>
            <w:sz w:val="20"/>
            <w:szCs w:val="20"/>
          </w:rPr>
          <w:t>Investment Education</w:t>
        </w:r>
      </w:hyperlink>
      <w:r w:rsidR="00A26868" w:rsidRPr="00744171">
        <w:rPr>
          <w:b/>
          <w:color w:val="000000" w:themeColor="text1"/>
          <w:sz w:val="20"/>
          <w:szCs w:val="20"/>
        </w:rPr>
        <w:t xml:space="preserve"> </w:t>
      </w:r>
    </w:p>
    <w:p w14:paraId="7680E071" w14:textId="77777777" w:rsidR="00FB5700" w:rsidRPr="00744171" w:rsidRDefault="00FB5700" w:rsidP="00FB5700">
      <w:pPr>
        <w:pStyle w:val="ListParagraph"/>
        <w:rPr>
          <w:b/>
          <w:bCs/>
          <w:color w:val="000000" w:themeColor="text1"/>
          <w:sz w:val="20"/>
          <w:szCs w:val="20"/>
        </w:rPr>
      </w:pPr>
    </w:p>
    <w:p w14:paraId="1F8B0A98" w14:textId="6A96B11A" w:rsidR="00E157BA" w:rsidRPr="00744171" w:rsidRDefault="00E157BA" w:rsidP="00FB5700">
      <w:pPr>
        <w:pStyle w:val="ListParagraph"/>
        <w:numPr>
          <w:ilvl w:val="0"/>
          <w:numId w:val="13"/>
        </w:numPr>
        <w:spacing w:after="120"/>
        <w:contextualSpacing w:val="0"/>
        <w:rPr>
          <w:color w:val="000000" w:themeColor="text1"/>
          <w:sz w:val="20"/>
          <w:szCs w:val="20"/>
        </w:rPr>
      </w:pPr>
      <w:r w:rsidRPr="00744171">
        <w:rPr>
          <w:color w:val="000000" w:themeColor="text1"/>
          <w:sz w:val="20"/>
          <w:szCs w:val="20"/>
        </w:rPr>
        <w:t xml:space="preserve">Review </w:t>
      </w:r>
      <w:r w:rsidR="00F823B8" w:rsidRPr="00744171">
        <w:rPr>
          <w:color w:val="000000" w:themeColor="text1"/>
          <w:sz w:val="20"/>
          <w:szCs w:val="20"/>
        </w:rPr>
        <w:t>CRP’s</w:t>
      </w:r>
      <w:r w:rsidRPr="00744171">
        <w:rPr>
          <w:color w:val="000000" w:themeColor="text1"/>
          <w:sz w:val="20"/>
          <w:szCs w:val="20"/>
        </w:rPr>
        <w:t xml:space="preserve"> updated policies and procedures to determine if the firm is providing </w:t>
      </w:r>
      <w:r w:rsidR="00891645" w:rsidRPr="00744171">
        <w:rPr>
          <w:color w:val="000000" w:themeColor="text1"/>
          <w:sz w:val="20"/>
          <w:szCs w:val="20"/>
        </w:rPr>
        <w:t>“</w:t>
      </w:r>
      <w:r w:rsidR="00C048B2" w:rsidRPr="00744171">
        <w:rPr>
          <w:color w:val="000000" w:themeColor="text1"/>
          <w:sz w:val="20"/>
          <w:szCs w:val="20"/>
        </w:rPr>
        <w:t>Investment Education</w:t>
      </w:r>
      <w:r w:rsidR="00891645" w:rsidRPr="00744171">
        <w:rPr>
          <w:color w:val="000000" w:themeColor="text1"/>
          <w:sz w:val="20"/>
          <w:szCs w:val="20"/>
        </w:rPr>
        <w:t>” services to clients</w:t>
      </w:r>
      <w:r w:rsidRPr="00744171">
        <w:rPr>
          <w:color w:val="000000" w:themeColor="text1"/>
          <w:sz w:val="20"/>
          <w:szCs w:val="20"/>
        </w:rPr>
        <w:t>.</w:t>
      </w:r>
      <w:r w:rsidR="00DC494C" w:rsidRPr="00744171">
        <w:rPr>
          <w:color w:val="000000" w:themeColor="text1"/>
          <w:sz w:val="20"/>
          <w:szCs w:val="20"/>
        </w:rPr>
        <w:t xml:space="preserve"> (</w:t>
      </w:r>
      <w:r w:rsidR="00DC494C" w:rsidRPr="00744171">
        <w:rPr>
          <w:i/>
          <w:color w:val="000000" w:themeColor="text1"/>
          <w:sz w:val="20"/>
          <w:szCs w:val="20"/>
        </w:rPr>
        <w:t>Page 6-7 below</w:t>
      </w:r>
      <w:r w:rsidR="00DC494C" w:rsidRPr="00744171">
        <w:rPr>
          <w:color w:val="000000" w:themeColor="text1"/>
          <w:sz w:val="20"/>
          <w:szCs w:val="20"/>
        </w:rPr>
        <w:t>).</w:t>
      </w:r>
    </w:p>
    <w:p w14:paraId="1B604E17" w14:textId="2C9BB56F" w:rsidR="00E157BA" w:rsidRPr="00744171" w:rsidRDefault="00E157BA" w:rsidP="00FB5700">
      <w:pPr>
        <w:pStyle w:val="ListParagraph"/>
        <w:numPr>
          <w:ilvl w:val="0"/>
          <w:numId w:val="13"/>
        </w:numPr>
        <w:spacing w:after="120"/>
        <w:contextualSpacing w:val="0"/>
        <w:rPr>
          <w:color w:val="000000" w:themeColor="text1"/>
          <w:sz w:val="20"/>
          <w:szCs w:val="20"/>
        </w:rPr>
      </w:pPr>
      <w:r w:rsidRPr="00744171">
        <w:rPr>
          <w:color w:val="000000" w:themeColor="text1"/>
          <w:sz w:val="20"/>
          <w:szCs w:val="20"/>
        </w:rPr>
        <w:t xml:space="preserve">Copy and paste the attached </w:t>
      </w:r>
      <w:r w:rsidR="00C048B2" w:rsidRPr="00744171">
        <w:rPr>
          <w:color w:val="000000" w:themeColor="text1"/>
          <w:sz w:val="20"/>
          <w:szCs w:val="20"/>
        </w:rPr>
        <w:t>“</w:t>
      </w:r>
      <w:r w:rsidR="00C048B2" w:rsidRPr="00744171">
        <w:rPr>
          <w:b/>
          <w:color w:val="000000" w:themeColor="text1"/>
          <w:sz w:val="20"/>
          <w:szCs w:val="20"/>
        </w:rPr>
        <w:t>Investment Education</w:t>
      </w:r>
      <w:r w:rsidR="00C048B2" w:rsidRPr="00744171">
        <w:rPr>
          <w:color w:val="000000" w:themeColor="text1"/>
          <w:sz w:val="20"/>
          <w:szCs w:val="20"/>
        </w:rPr>
        <w:t xml:space="preserve">” </w:t>
      </w:r>
      <w:r w:rsidRPr="00744171">
        <w:rPr>
          <w:color w:val="000000" w:themeColor="text1"/>
          <w:sz w:val="20"/>
          <w:szCs w:val="20"/>
        </w:rPr>
        <w:t>policies and procedures into your most recent compliance manual.</w:t>
      </w:r>
      <w:r w:rsidR="00734DA5">
        <w:rPr>
          <w:color w:val="000000" w:themeColor="text1"/>
          <w:sz w:val="20"/>
          <w:szCs w:val="20"/>
        </w:rPr>
        <w:t xml:space="preserve"> Replace existing language.</w:t>
      </w:r>
    </w:p>
    <w:p w14:paraId="4DA160C6" w14:textId="733F8232" w:rsidR="00E157BA" w:rsidRPr="00744171" w:rsidRDefault="00E157BA" w:rsidP="00FB5700">
      <w:pPr>
        <w:pStyle w:val="ListParagraph"/>
        <w:numPr>
          <w:ilvl w:val="0"/>
          <w:numId w:val="12"/>
        </w:numPr>
        <w:spacing w:after="120"/>
        <w:contextualSpacing w:val="0"/>
        <w:rPr>
          <w:color w:val="000000" w:themeColor="text1"/>
          <w:sz w:val="20"/>
          <w:szCs w:val="20"/>
        </w:rPr>
      </w:pPr>
      <w:r w:rsidRPr="00744171">
        <w:rPr>
          <w:color w:val="000000" w:themeColor="text1"/>
          <w:sz w:val="20"/>
          <w:szCs w:val="20"/>
        </w:rPr>
        <w:t>Implement and train IAR’s on the documentation requiremen</w:t>
      </w:r>
      <w:r w:rsidR="002C2305" w:rsidRPr="00744171">
        <w:rPr>
          <w:color w:val="000000" w:themeColor="text1"/>
          <w:sz w:val="20"/>
          <w:szCs w:val="20"/>
        </w:rPr>
        <w:t xml:space="preserve">t, which include the </w:t>
      </w:r>
      <w:r w:rsidRPr="00744171">
        <w:rPr>
          <w:color w:val="000000" w:themeColor="text1"/>
          <w:sz w:val="20"/>
          <w:szCs w:val="20"/>
        </w:rPr>
        <w:t xml:space="preserve">attached </w:t>
      </w:r>
      <w:r w:rsidR="00E83F6F" w:rsidRPr="00744171">
        <w:rPr>
          <w:color w:val="000000" w:themeColor="text1"/>
          <w:sz w:val="20"/>
          <w:szCs w:val="20"/>
        </w:rPr>
        <w:t>“</w:t>
      </w:r>
      <w:r w:rsidR="002C2305" w:rsidRPr="00744171">
        <w:rPr>
          <w:b/>
          <w:color w:val="000000" w:themeColor="text1"/>
          <w:sz w:val="20"/>
          <w:szCs w:val="20"/>
        </w:rPr>
        <w:t>Investment Education -</w:t>
      </w:r>
      <w:r w:rsidR="00D94274" w:rsidRPr="00744171">
        <w:rPr>
          <w:b/>
          <w:color w:val="000000" w:themeColor="text1"/>
          <w:sz w:val="20"/>
          <w:szCs w:val="20"/>
        </w:rPr>
        <w:t xml:space="preserve"> Client </w:t>
      </w:r>
      <w:r w:rsidR="00706E33" w:rsidRPr="00744171">
        <w:rPr>
          <w:b/>
          <w:color w:val="000000" w:themeColor="text1"/>
          <w:sz w:val="20"/>
          <w:szCs w:val="20"/>
        </w:rPr>
        <w:t xml:space="preserve">Consideration </w:t>
      </w:r>
      <w:r w:rsidR="00D94274" w:rsidRPr="00744171">
        <w:rPr>
          <w:b/>
          <w:color w:val="000000" w:themeColor="text1"/>
          <w:sz w:val="20"/>
          <w:szCs w:val="20"/>
        </w:rPr>
        <w:t>Attestation</w:t>
      </w:r>
      <w:r w:rsidR="00706E33" w:rsidRPr="00744171">
        <w:rPr>
          <w:b/>
          <w:color w:val="000000" w:themeColor="text1"/>
          <w:sz w:val="20"/>
          <w:szCs w:val="20"/>
        </w:rPr>
        <w:t>"</w:t>
      </w:r>
      <w:r w:rsidR="00D94274" w:rsidRPr="00744171">
        <w:rPr>
          <w:color w:val="000000" w:themeColor="text1"/>
          <w:sz w:val="20"/>
          <w:szCs w:val="20"/>
        </w:rPr>
        <w:t xml:space="preserve"> form</w:t>
      </w:r>
      <w:r w:rsidR="00253F80" w:rsidRPr="00744171">
        <w:rPr>
          <w:color w:val="000000" w:themeColor="text1"/>
          <w:sz w:val="20"/>
          <w:szCs w:val="20"/>
        </w:rPr>
        <w:t>.</w:t>
      </w:r>
      <w:r w:rsidR="00CC1D10" w:rsidRPr="00744171">
        <w:rPr>
          <w:color w:val="000000" w:themeColor="text1"/>
          <w:sz w:val="20"/>
          <w:szCs w:val="20"/>
        </w:rPr>
        <w:t xml:space="preserve"> </w:t>
      </w:r>
      <w:r w:rsidR="00CC1D10" w:rsidRPr="00744171">
        <w:rPr>
          <w:i/>
          <w:color w:val="000000" w:themeColor="text1"/>
          <w:sz w:val="20"/>
          <w:szCs w:val="20"/>
        </w:rPr>
        <w:t>Stay tuned to February’s This Month Resource for sample training content</w:t>
      </w:r>
      <w:r w:rsidR="00CC1D10" w:rsidRPr="00744171">
        <w:rPr>
          <w:color w:val="000000" w:themeColor="text1"/>
          <w:sz w:val="20"/>
          <w:szCs w:val="20"/>
        </w:rPr>
        <w:t>)</w:t>
      </w:r>
    </w:p>
    <w:p w14:paraId="497F044C" w14:textId="1F2587D7" w:rsidR="00256B33" w:rsidRDefault="00256B33" w:rsidP="00FB5700">
      <w:pPr>
        <w:pStyle w:val="ListParagraph"/>
        <w:numPr>
          <w:ilvl w:val="0"/>
          <w:numId w:val="13"/>
        </w:numPr>
        <w:spacing w:after="120"/>
        <w:contextualSpacing w:val="0"/>
        <w:rPr>
          <w:color w:val="000000" w:themeColor="text1"/>
          <w:sz w:val="20"/>
          <w:szCs w:val="20"/>
        </w:rPr>
      </w:pPr>
      <w:r w:rsidRPr="00A76F9E">
        <w:rPr>
          <w:color w:val="000000" w:themeColor="text1"/>
          <w:sz w:val="20"/>
          <w:szCs w:val="20"/>
        </w:rPr>
        <w:t xml:space="preserve">For unsolicited transactions, implement and train IAR’s on the documentation requirement, which includes the attached </w:t>
      </w:r>
      <w:r w:rsidR="00A76F9E" w:rsidRPr="00E83F6F">
        <w:rPr>
          <w:color w:val="000000" w:themeColor="text1"/>
          <w:sz w:val="20"/>
          <w:szCs w:val="20"/>
        </w:rPr>
        <w:t>“</w:t>
      </w:r>
      <w:r w:rsidR="00A76F9E" w:rsidRPr="00E83F6F">
        <w:rPr>
          <w:b/>
          <w:bCs/>
          <w:color w:val="000000" w:themeColor="text1"/>
          <w:sz w:val="20"/>
          <w:szCs w:val="20"/>
        </w:rPr>
        <w:t>Unsolicited Transactions - Client Attestation”</w:t>
      </w:r>
      <w:r w:rsidR="00A76F9E" w:rsidRPr="00E83F6F">
        <w:rPr>
          <w:color w:val="000000" w:themeColor="text1"/>
          <w:sz w:val="20"/>
          <w:szCs w:val="20"/>
        </w:rPr>
        <w:t xml:space="preserve"> form.</w:t>
      </w:r>
    </w:p>
    <w:p w14:paraId="40712A00" w14:textId="77777777" w:rsidR="00A76F9E" w:rsidRPr="00A76F9E" w:rsidRDefault="00A76F9E" w:rsidP="00A76F9E">
      <w:pPr>
        <w:pStyle w:val="ListParagraph"/>
        <w:ind w:left="1080"/>
        <w:rPr>
          <w:sz w:val="20"/>
          <w:szCs w:val="20"/>
        </w:rPr>
      </w:pPr>
    </w:p>
    <w:p w14:paraId="6422C82C" w14:textId="77777777" w:rsidR="00E157BA" w:rsidRPr="00563555" w:rsidRDefault="00E157BA" w:rsidP="00E157BA">
      <w:pPr>
        <w:rPr>
          <w:b/>
          <w:bCs/>
          <w:color w:val="0432FF"/>
          <w:sz w:val="20"/>
          <w:szCs w:val="20"/>
        </w:rPr>
      </w:pPr>
    </w:p>
    <w:p w14:paraId="2DDC26E1" w14:textId="3DD75F49" w:rsidR="00827541" w:rsidRPr="00352B5B" w:rsidRDefault="009616AA" w:rsidP="00E1225B">
      <w:pPr>
        <w:jc w:val="center"/>
        <w:rPr>
          <w:b/>
          <w:sz w:val="20"/>
          <w:szCs w:val="20"/>
          <w:highlight w:val="green"/>
        </w:rPr>
      </w:pPr>
      <w:r w:rsidRPr="00352B5B">
        <w:rPr>
          <w:b/>
          <w:bCs/>
          <w:sz w:val="20"/>
          <w:szCs w:val="20"/>
          <w:highlight w:val="yellow"/>
        </w:rPr>
        <w:t>[</w:t>
      </w:r>
      <w:r w:rsidR="00352B5B">
        <w:rPr>
          <w:b/>
          <w:bCs/>
          <w:sz w:val="20"/>
          <w:szCs w:val="20"/>
          <w:highlight w:val="yellow"/>
        </w:rPr>
        <w:t>If the firm offers this service</w:t>
      </w:r>
      <w:r w:rsidR="00E1225B">
        <w:rPr>
          <w:b/>
          <w:bCs/>
          <w:sz w:val="20"/>
          <w:szCs w:val="20"/>
          <w:highlight w:val="yellow"/>
        </w:rPr>
        <w:t>:</w:t>
      </w:r>
      <w:r w:rsidR="00352B5B">
        <w:rPr>
          <w:b/>
          <w:bCs/>
          <w:sz w:val="20"/>
          <w:szCs w:val="20"/>
          <w:highlight w:val="yellow"/>
        </w:rPr>
        <w:t xml:space="preserve"> c</w:t>
      </w:r>
      <w:r w:rsidRPr="00352B5B">
        <w:rPr>
          <w:b/>
          <w:bCs/>
          <w:sz w:val="20"/>
          <w:szCs w:val="20"/>
          <w:highlight w:val="yellow"/>
        </w:rPr>
        <w:t xml:space="preserve">opy and paste </w:t>
      </w:r>
      <w:r w:rsidR="00352B5B">
        <w:rPr>
          <w:b/>
          <w:bCs/>
          <w:sz w:val="20"/>
          <w:szCs w:val="20"/>
          <w:highlight w:val="yellow"/>
        </w:rPr>
        <w:t xml:space="preserve">this policy </w:t>
      </w:r>
      <w:r w:rsidRPr="00352B5B">
        <w:rPr>
          <w:b/>
          <w:bCs/>
          <w:sz w:val="20"/>
          <w:szCs w:val="20"/>
          <w:highlight w:val="yellow"/>
        </w:rPr>
        <w:t xml:space="preserve">into </w:t>
      </w:r>
      <w:r w:rsidR="00352B5B">
        <w:rPr>
          <w:b/>
          <w:bCs/>
          <w:sz w:val="20"/>
          <w:szCs w:val="20"/>
          <w:highlight w:val="yellow"/>
        </w:rPr>
        <w:t>your firms</w:t>
      </w:r>
      <w:r w:rsidRPr="00352B5B">
        <w:rPr>
          <w:b/>
          <w:bCs/>
          <w:sz w:val="20"/>
          <w:szCs w:val="20"/>
          <w:highlight w:val="yellow"/>
        </w:rPr>
        <w:t xml:space="preserve"> Compliance Manual]</w:t>
      </w:r>
    </w:p>
    <w:p w14:paraId="2F0D80A3" w14:textId="0FD0270C" w:rsidR="00E15102" w:rsidRPr="00E1225B" w:rsidRDefault="00145A19" w:rsidP="00DD51FA">
      <w:pPr>
        <w:pStyle w:val="IntenseQuote"/>
        <w:rPr>
          <w:b/>
          <w:i w:val="0"/>
        </w:rPr>
      </w:pPr>
      <w:bookmarkStart w:id="0" w:name="_INVESTMENT_ADVICE_AND"/>
      <w:bookmarkEnd w:id="0"/>
      <w:r w:rsidRPr="00E1225B">
        <w:rPr>
          <w:b/>
          <w:i w:val="0"/>
        </w:rPr>
        <w:t>INVESTMENT ADVICE AND ROLLOVER RECOMMENDATIONS</w:t>
      </w:r>
      <w:r w:rsidRPr="00E1225B" w:rsidDel="00145A19">
        <w:rPr>
          <w:b/>
          <w:i w:val="0"/>
        </w:rPr>
        <w:t xml:space="preserve"> </w:t>
      </w:r>
    </w:p>
    <w:p w14:paraId="45AD0B17" w14:textId="77777777" w:rsidR="00BF6053" w:rsidRPr="00BF6053" w:rsidRDefault="00BF6053" w:rsidP="00BF6053">
      <w:pPr>
        <w:rPr>
          <w:b/>
          <w:bCs/>
          <w:sz w:val="20"/>
          <w:szCs w:val="20"/>
        </w:rPr>
      </w:pPr>
      <w:r w:rsidRPr="00BF6053">
        <w:rPr>
          <w:b/>
          <w:bCs/>
          <w:sz w:val="20"/>
          <w:szCs w:val="20"/>
        </w:rPr>
        <w:t>INVESTMENT ADVICE AND ROLLOVER RECOMMENDATIONS</w:t>
      </w:r>
      <w:r w:rsidRPr="00BF6053" w:rsidDel="00145A19">
        <w:rPr>
          <w:b/>
          <w:bCs/>
          <w:sz w:val="20"/>
          <w:szCs w:val="20"/>
        </w:rPr>
        <w:t xml:space="preserve"> </w:t>
      </w:r>
    </w:p>
    <w:p w14:paraId="1A8F3E16" w14:textId="58A89C2F" w:rsidR="00BF6053" w:rsidRPr="00BF6053" w:rsidRDefault="00BF6053" w:rsidP="00BF6053">
      <w:pPr>
        <w:rPr>
          <w:sz w:val="20"/>
          <w:szCs w:val="20"/>
        </w:rPr>
      </w:pPr>
      <w:r w:rsidRPr="00BF6053">
        <w:rPr>
          <w:sz w:val="20"/>
          <w:szCs w:val="20"/>
        </w:rPr>
        <w:t xml:space="preserve">This section below sets forth the Firm’s policies and procedures to address compliance with the Department of Labor’s PTE 2020-02, </w:t>
      </w:r>
      <w:r w:rsidRPr="00BF6053">
        <w:rPr>
          <w:i/>
          <w:iCs/>
          <w:sz w:val="20"/>
          <w:szCs w:val="20"/>
        </w:rPr>
        <w:t>Improving Investment Advice for Workers &amp; Retirees</w:t>
      </w:r>
      <w:r w:rsidRPr="00BF6053">
        <w:rPr>
          <w:sz w:val="20"/>
          <w:szCs w:val="20"/>
        </w:rPr>
        <w:t>.  The prohibited transaction exemption under ERISA and the Internal Revenue Code (“Code”)</w:t>
      </w:r>
      <w:r w:rsidR="00192A7C">
        <w:rPr>
          <w:sz w:val="20"/>
          <w:szCs w:val="20"/>
        </w:rPr>
        <w:t xml:space="preserve"> </w:t>
      </w:r>
      <w:r w:rsidRPr="00BF6053">
        <w:rPr>
          <w:sz w:val="20"/>
          <w:szCs w:val="20"/>
        </w:rPr>
        <w:t xml:space="preserve">for investment advice fiduciaries with respect to employee benefit plans and individual retirement accounts (IRAs) requires IARs who recommend to rollovers must justify and explain the benefits, expenses and all conflicts of interest associated with the recommendation as well as attempt to benchmark advisor compensation.  “Rollovers” include not only rollovers from </w:t>
      </w:r>
      <w:r w:rsidR="00E94EAD">
        <w:rPr>
          <w:sz w:val="20"/>
          <w:szCs w:val="20"/>
        </w:rPr>
        <w:t>dde</w:t>
      </w:r>
      <w:r w:rsidRPr="00BF6053">
        <w:rPr>
          <w:sz w:val="20"/>
          <w:szCs w:val="20"/>
        </w:rPr>
        <w:t>, but also from an IRA to another IRA, an IRA to a plan, a plan to another plan, and from one type of account to another (brokerage to advisory, and vice versa).</w:t>
      </w:r>
    </w:p>
    <w:p w14:paraId="044D8579" w14:textId="77777777" w:rsidR="00BF6053" w:rsidRPr="00BF6053" w:rsidRDefault="00BF6053" w:rsidP="00BF6053">
      <w:pPr>
        <w:rPr>
          <w:sz w:val="20"/>
          <w:szCs w:val="20"/>
        </w:rPr>
      </w:pPr>
    </w:p>
    <w:p w14:paraId="2D061E44" w14:textId="20F85E31" w:rsidR="00BF6053" w:rsidRPr="00BF6053" w:rsidRDefault="00BF6053" w:rsidP="00BF6053">
      <w:pPr>
        <w:rPr>
          <w:i/>
          <w:iCs/>
          <w:sz w:val="20"/>
          <w:szCs w:val="20"/>
        </w:rPr>
      </w:pPr>
      <w:r w:rsidRPr="00BF6053">
        <w:rPr>
          <w:b/>
          <w:i/>
          <w:sz w:val="20"/>
          <w:szCs w:val="20"/>
        </w:rPr>
        <w:t>“Investment Advice</w:t>
      </w:r>
      <w:r w:rsidR="00BE2ED8">
        <w:rPr>
          <w:b/>
          <w:bCs/>
          <w:i/>
          <w:iCs/>
          <w:sz w:val="20"/>
          <w:szCs w:val="20"/>
        </w:rPr>
        <w:t xml:space="preserve"> and recommendations</w:t>
      </w:r>
      <w:r w:rsidRPr="00BF6053">
        <w:rPr>
          <w:b/>
          <w:i/>
          <w:sz w:val="20"/>
          <w:szCs w:val="20"/>
        </w:rPr>
        <w:t>”</w:t>
      </w:r>
      <w:r w:rsidRPr="00BF6053">
        <w:rPr>
          <w:i/>
          <w:iCs/>
          <w:sz w:val="20"/>
          <w:szCs w:val="20"/>
        </w:rPr>
        <w:t xml:space="preserve"> to client or potential client to rollover assets is considered fiduciary investment advice if the following 5-part test is satisfied: </w:t>
      </w:r>
    </w:p>
    <w:p w14:paraId="44C98457" w14:textId="77777777" w:rsidR="00F96FB9" w:rsidRPr="00BF6053" w:rsidRDefault="00F96FB9" w:rsidP="00BF6053">
      <w:pPr>
        <w:rPr>
          <w:i/>
          <w:iCs/>
          <w:sz w:val="20"/>
          <w:szCs w:val="20"/>
        </w:rPr>
      </w:pPr>
    </w:p>
    <w:p w14:paraId="5EC3F017" w14:textId="77777777" w:rsidR="00BF6053" w:rsidRPr="00BF6053" w:rsidRDefault="00BF6053" w:rsidP="00BF6053">
      <w:pPr>
        <w:numPr>
          <w:ilvl w:val="0"/>
          <w:numId w:val="20"/>
        </w:numPr>
        <w:rPr>
          <w:sz w:val="20"/>
          <w:szCs w:val="20"/>
        </w:rPr>
      </w:pPr>
      <w:r w:rsidRPr="00BF6053">
        <w:rPr>
          <w:sz w:val="20"/>
          <w:szCs w:val="20"/>
        </w:rPr>
        <w:t xml:space="preserve">For a Fee, </w:t>
      </w:r>
      <w:r w:rsidRPr="00BF6053">
        <w:rPr>
          <w:i/>
          <w:iCs/>
          <w:sz w:val="20"/>
          <w:szCs w:val="20"/>
        </w:rPr>
        <w:t>renders advice as to the value of securities</w:t>
      </w:r>
      <w:r w:rsidRPr="00BF6053">
        <w:rPr>
          <w:sz w:val="20"/>
          <w:szCs w:val="20"/>
        </w:rPr>
        <w:t xml:space="preserve"> or other property, or make recommendations as to the advisability of investing in, purchasing, or selling securities or other property</w:t>
      </w:r>
    </w:p>
    <w:p w14:paraId="1DDE96F2" w14:textId="77777777" w:rsidR="00BF6053" w:rsidRPr="00BF6053" w:rsidRDefault="00BF6053" w:rsidP="00BF6053">
      <w:pPr>
        <w:numPr>
          <w:ilvl w:val="0"/>
          <w:numId w:val="20"/>
        </w:numPr>
        <w:rPr>
          <w:i/>
          <w:iCs/>
          <w:sz w:val="20"/>
          <w:szCs w:val="20"/>
        </w:rPr>
      </w:pPr>
      <w:r w:rsidRPr="00BF6053">
        <w:rPr>
          <w:i/>
          <w:iCs/>
          <w:sz w:val="20"/>
          <w:szCs w:val="20"/>
        </w:rPr>
        <w:t xml:space="preserve">On a regular basis </w:t>
      </w:r>
    </w:p>
    <w:p w14:paraId="7F518DAA" w14:textId="77777777" w:rsidR="00BF6053" w:rsidRPr="00BF6053" w:rsidRDefault="00BF6053" w:rsidP="00BF6053">
      <w:pPr>
        <w:numPr>
          <w:ilvl w:val="0"/>
          <w:numId w:val="20"/>
        </w:numPr>
        <w:rPr>
          <w:sz w:val="20"/>
          <w:szCs w:val="20"/>
        </w:rPr>
      </w:pPr>
      <w:r w:rsidRPr="00BF6053">
        <w:rPr>
          <w:i/>
          <w:iCs/>
          <w:sz w:val="20"/>
          <w:szCs w:val="20"/>
        </w:rPr>
        <w:t>Pursuant to a mutual agreement</w:t>
      </w:r>
      <w:r w:rsidRPr="00BF6053">
        <w:rPr>
          <w:sz w:val="20"/>
          <w:szCs w:val="20"/>
        </w:rPr>
        <w:t xml:space="preserve">, arrangement, or understanding with the Plan, Plan fiduciary or IRA owner, </w:t>
      </w:r>
    </w:p>
    <w:p w14:paraId="76B4A518" w14:textId="77777777" w:rsidR="00BF6053" w:rsidRPr="00BF6053" w:rsidRDefault="00BF6053" w:rsidP="00BF6053">
      <w:pPr>
        <w:numPr>
          <w:ilvl w:val="0"/>
          <w:numId w:val="20"/>
        </w:numPr>
        <w:rPr>
          <w:sz w:val="20"/>
          <w:szCs w:val="20"/>
        </w:rPr>
      </w:pPr>
      <w:r w:rsidRPr="00BF6053">
        <w:rPr>
          <w:sz w:val="20"/>
          <w:szCs w:val="20"/>
        </w:rPr>
        <w:t xml:space="preserve">That the advice will serve as a </w:t>
      </w:r>
      <w:r w:rsidRPr="00BF6053">
        <w:rPr>
          <w:i/>
          <w:iCs/>
          <w:sz w:val="20"/>
          <w:szCs w:val="20"/>
        </w:rPr>
        <w:t>primary basis for investment decisions</w:t>
      </w:r>
      <w:r w:rsidRPr="00BF6053">
        <w:rPr>
          <w:sz w:val="20"/>
          <w:szCs w:val="20"/>
        </w:rPr>
        <w:t xml:space="preserve"> with respect to Plan or IRA assets, and</w:t>
      </w:r>
    </w:p>
    <w:p w14:paraId="0B2E911E" w14:textId="77777777" w:rsidR="00BF6053" w:rsidRDefault="00BF6053" w:rsidP="00BF6053">
      <w:pPr>
        <w:numPr>
          <w:ilvl w:val="0"/>
          <w:numId w:val="20"/>
        </w:numPr>
        <w:rPr>
          <w:sz w:val="20"/>
          <w:szCs w:val="20"/>
        </w:rPr>
      </w:pPr>
      <w:r w:rsidRPr="00BF6053">
        <w:rPr>
          <w:sz w:val="20"/>
          <w:szCs w:val="20"/>
        </w:rPr>
        <w:t xml:space="preserve">The advice will be </w:t>
      </w:r>
      <w:r w:rsidRPr="00BF6053">
        <w:rPr>
          <w:i/>
          <w:iCs/>
          <w:sz w:val="20"/>
          <w:szCs w:val="20"/>
        </w:rPr>
        <w:t>individualized based on the particular needs</w:t>
      </w:r>
      <w:r w:rsidRPr="00BF6053">
        <w:rPr>
          <w:sz w:val="20"/>
          <w:szCs w:val="20"/>
        </w:rPr>
        <w:t xml:space="preserve"> of the Plan or IRA.</w:t>
      </w:r>
    </w:p>
    <w:p w14:paraId="1EDEEE63" w14:textId="77777777" w:rsidR="00BF6053" w:rsidRPr="00BF6053" w:rsidRDefault="00BF6053" w:rsidP="00BF6053">
      <w:pPr>
        <w:ind w:left="1440"/>
        <w:rPr>
          <w:sz w:val="20"/>
          <w:szCs w:val="20"/>
        </w:rPr>
      </w:pPr>
    </w:p>
    <w:p w14:paraId="1481E812" w14:textId="77777777" w:rsidR="00BF6053" w:rsidRPr="00BF6053" w:rsidRDefault="00BF6053" w:rsidP="00BF6053">
      <w:pPr>
        <w:rPr>
          <w:sz w:val="20"/>
          <w:szCs w:val="20"/>
        </w:rPr>
      </w:pPr>
      <w:r w:rsidRPr="00BF6053">
        <w:rPr>
          <w:sz w:val="20"/>
          <w:szCs w:val="20"/>
        </w:rPr>
        <w:t>If all five parts listed above are satisfied, our Firm will be considered a “fiduciary” under ERISA and/or the Code.</w:t>
      </w:r>
    </w:p>
    <w:p w14:paraId="56B0A88B" w14:textId="77777777" w:rsidR="00BF6053" w:rsidRPr="00BF6053" w:rsidRDefault="00BF6053" w:rsidP="00BF6053">
      <w:pPr>
        <w:rPr>
          <w:sz w:val="20"/>
          <w:szCs w:val="20"/>
        </w:rPr>
      </w:pPr>
    </w:p>
    <w:p w14:paraId="523ECA91" w14:textId="75169E68" w:rsidR="00BF6053" w:rsidRPr="00BF6053" w:rsidRDefault="00BF6053" w:rsidP="00BF6053">
      <w:pPr>
        <w:rPr>
          <w:sz w:val="20"/>
          <w:szCs w:val="20"/>
        </w:rPr>
      </w:pPr>
      <w:r w:rsidRPr="00BF6053">
        <w:rPr>
          <w:sz w:val="20"/>
          <w:szCs w:val="20"/>
        </w:rPr>
        <w:t>Our Firm does provide investment advice and rollover recommendations and therefore providing “investment advice</w:t>
      </w:r>
      <w:r w:rsidR="00BE2ED8">
        <w:rPr>
          <w:sz w:val="20"/>
          <w:szCs w:val="20"/>
        </w:rPr>
        <w:t xml:space="preserve"> and recommendations</w:t>
      </w:r>
      <w:r w:rsidRPr="00BF6053">
        <w:rPr>
          <w:sz w:val="20"/>
          <w:szCs w:val="20"/>
        </w:rPr>
        <w:t>” regarding the individual’s tax-advantaged account(s) prior to recommending the rollover.  There is a reasonable understanding that our Firm will be providing investment advice on the assets rolled over to our Firm and our Firm will be considered a fiduciary under the Code.</w:t>
      </w:r>
    </w:p>
    <w:p w14:paraId="50FE682F" w14:textId="77777777" w:rsidR="00C25A01" w:rsidRPr="00563555" w:rsidRDefault="00C25A01" w:rsidP="0026785C">
      <w:pPr>
        <w:rPr>
          <w:sz w:val="20"/>
          <w:szCs w:val="20"/>
        </w:rPr>
      </w:pPr>
    </w:p>
    <w:p w14:paraId="65DBFCAF" w14:textId="307C3910" w:rsidR="00E15102" w:rsidRPr="00563555" w:rsidRDefault="00B84EFC" w:rsidP="0026785C">
      <w:pPr>
        <w:rPr>
          <w:b/>
          <w:bCs/>
          <w:sz w:val="20"/>
          <w:szCs w:val="20"/>
        </w:rPr>
      </w:pPr>
      <w:r w:rsidRPr="00563555">
        <w:rPr>
          <w:b/>
          <w:bCs/>
          <w:sz w:val="20"/>
          <w:szCs w:val="20"/>
        </w:rPr>
        <w:t>OVERVIEW</w:t>
      </w:r>
    </w:p>
    <w:p w14:paraId="72CD190C" w14:textId="637D1FE4" w:rsidR="007A2C24" w:rsidRPr="00563555" w:rsidRDefault="00645806" w:rsidP="0026785C">
      <w:pPr>
        <w:rPr>
          <w:sz w:val="20"/>
          <w:szCs w:val="20"/>
        </w:rPr>
      </w:pPr>
      <w:r w:rsidRPr="00563555">
        <w:rPr>
          <w:sz w:val="20"/>
          <w:szCs w:val="20"/>
        </w:rPr>
        <w:t>By the conditions outlined above, o</w:t>
      </w:r>
      <w:r w:rsidR="007A2C24" w:rsidRPr="00563555">
        <w:rPr>
          <w:sz w:val="20"/>
          <w:szCs w:val="20"/>
        </w:rPr>
        <w:t xml:space="preserve">ur Firm provides </w:t>
      </w:r>
      <w:r w:rsidR="00DD51FA">
        <w:rPr>
          <w:sz w:val="20"/>
          <w:szCs w:val="20"/>
        </w:rPr>
        <w:t>“</w:t>
      </w:r>
      <w:r w:rsidR="007A2C24" w:rsidRPr="00563555">
        <w:rPr>
          <w:sz w:val="20"/>
          <w:szCs w:val="20"/>
        </w:rPr>
        <w:t>investment advice and recommendations</w:t>
      </w:r>
      <w:r w:rsidR="00DD51FA">
        <w:rPr>
          <w:sz w:val="20"/>
          <w:szCs w:val="20"/>
        </w:rPr>
        <w:t>”</w:t>
      </w:r>
      <w:r w:rsidR="007A2C24" w:rsidRPr="00563555">
        <w:rPr>
          <w:sz w:val="20"/>
          <w:szCs w:val="20"/>
        </w:rPr>
        <w:t xml:space="preserve"> with respect to </w:t>
      </w:r>
      <w:r w:rsidR="00461400" w:rsidRPr="00563555">
        <w:rPr>
          <w:sz w:val="20"/>
          <w:szCs w:val="20"/>
        </w:rPr>
        <w:t xml:space="preserve">plan </w:t>
      </w:r>
      <w:r w:rsidR="007A2C24" w:rsidRPr="00563555">
        <w:rPr>
          <w:sz w:val="20"/>
          <w:szCs w:val="20"/>
        </w:rPr>
        <w:t>rollo</w:t>
      </w:r>
      <w:r w:rsidR="008F32EF" w:rsidRPr="00563555">
        <w:rPr>
          <w:sz w:val="20"/>
          <w:szCs w:val="20"/>
        </w:rPr>
        <w:t>vers</w:t>
      </w:r>
      <w:r w:rsidR="00617F1C" w:rsidRPr="00563555">
        <w:rPr>
          <w:sz w:val="20"/>
          <w:szCs w:val="20"/>
        </w:rPr>
        <w:t xml:space="preserve"> and IRAs</w:t>
      </w:r>
      <w:r w:rsidR="007A2C24" w:rsidRPr="00563555">
        <w:rPr>
          <w:sz w:val="20"/>
          <w:szCs w:val="20"/>
        </w:rPr>
        <w:t xml:space="preserve">. The DOL’s position is that all types of guidance and recommendations pertaining to rollovers </w:t>
      </w:r>
      <w:r w:rsidR="007A2C24" w:rsidRPr="00563555">
        <w:rPr>
          <w:b/>
          <w:bCs/>
          <w:i/>
          <w:iCs/>
          <w:sz w:val="20"/>
          <w:szCs w:val="20"/>
        </w:rPr>
        <w:t>will be</w:t>
      </w:r>
      <w:r w:rsidR="007A2C24" w:rsidRPr="00563555">
        <w:rPr>
          <w:sz w:val="20"/>
          <w:szCs w:val="20"/>
        </w:rPr>
        <w:t xml:space="preserve"> </w:t>
      </w:r>
      <w:r w:rsidRPr="00563555">
        <w:rPr>
          <w:sz w:val="20"/>
          <w:szCs w:val="20"/>
        </w:rPr>
        <w:t>consi</w:t>
      </w:r>
      <w:r w:rsidR="00F32E18" w:rsidRPr="00563555">
        <w:rPr>
          <w:sz w:val="20"/>
          <w:szCs w:val="20"/>
        </w:rPr>
        <w:t xml:space="preserve">dered </w:t>
      </w:r>
      <w:r w:rsidR="007A2C24" w:rsidRPr="00563555">
        <w:rPr>
          <w:sz w:val="20"/>
          <w:szCs w:val="20"/>
        </w:rPr>
        <w:t xml:space="preserve">fiduciary advice. The DOL sees </w:t>
      </w:r>
      <w:r w:rsidR="00563555" w:rsidRPr="00563555">
        <w:rPr>
          <w:sz w:val="20"/>
          <w:szCs w:val="20"/>
        </w:rPr>
        <w:t xml:space="preserve">plan </w:t>
      </w:r>
      <w:r w:rsidR="007A2C24" w:rsidRPr="00563555">
        <w:rPr>
          <w:sz w:val="20"/>
          <w:szCs w:val="20"/>
        </w:rPr>
        <w:t>rollover recommendations</w:t>
      </w:r>
      <w:r w:rsidR="00563555" w:rsidRPr="00563555">
        <w:rPr>
          <w:sz w:val="20"/>
          <w:szCs w:val="20"/>
        </w:rPr>
        <w:t xml:space="preserve"> and IRA transfers</w:t>
      </w:r>
      <w:r w:rsidR="007A2C24" w:rsidRPr="00563555">
        <w:rPr>
          <w:sz w:val="20"/>
          <w:szCs w:val="20"/>
        </w:rPr>
        <w:t xml:space="preserve"> as the start of an ongoing advisory relationship, and so the advice to enact the rollover </w:t>
      </w:r>
      <w:r w:rsidR="003A29AA">
        <w:rPr>
          <w:sz w:val="20"/>
          <w:szCs w:val="20"/>
        </w:rPr>
        <w:t xml:space="preserve">or transfer </w:t>
      </w:r>
      <w:r w:rsidR="007A2C24" w:rsidRPr="00563555">
        <w:rPr>
          <w:sz w:val="20"/>
          <w:szCs w:val="20"/>
        </w:rPr>
        <w:t>should be treated as the beginning of the fiduciary relationship.</w:t>
      </w:r>
      <w:r w:rsidR="00AE3FCF" w:rsidRPr="00563555">
        <w:rPr>
          <w:sz w:val="20"/>
          <w:szCs w:val="20"/>
        </w:rPr>
        <w:t xml:space="preserve"> </w:t>
      </w:r>
      <w:r w:rsidR="007A2C24" w:rsidRPr="00563555">
        <w:rPr>
          <w:sz w:val="20"/>
          <w:szCs w:val="20"/>
        </w:rPr>
        <w:t xml:space="preserve">As an investment adviser, the DOL says the collection of compensation related to rollover </w:t>
      </w:r>
      <w:r w:rsidR="00D17957">
        <w:rPr>
          <w:sz w:val="20"/>
          <w:szCs w:val="20"/>
        </w:rPr>
        <w:t xml:space="preserve">advice </w:t>
      </w:r>
      <w:r w:rsidR="003A29AA">
        <w:rPr>
          <w:sz w:val="20"/>
          <w:szCs w:val="20"/>
        </w:rPr>
        <w:t xml:space="preserve">and transfer </w:t>
      </w:r>
      <w:r w:rsidR="00D17957">
        <w:rPr>
          <w:sz w:val="20"/>
          <w:szCs w:val="20"/>
        </w:rPr>
        <w:t>recommendations</w:t>
      </w:r>
      <w:r w:rsidR="007A2C24" w:rsidRPr="00563555">
        <w:rPr>
          <w:sz w:val="20"/>
          <w:szCs w:val="20"/>
        </w:rPr>
        <w:t xml:space="preserve"> is almost always going to be a prohibited transaction, triggering the need for an exemption. The prohibited transaction requires formal exemption, all because the adviser is influencing the amount of compensation he or she will receive from a fiduciary client.</w:t>
      </w:r>
    </w:p>
    <w:p w14:paraId="4146DE0A" w14:textId="77777777" w:rsidR="007A2C24" w:rsidRPr="00563555" w:rsidRDefault="007A2C24" w:rsidP="0026785C">
      <w:pPr>
        <w:rPr>
          <w:sz w:val="20"/>
          <w:szCs w:val="20"/>
        </w:rPr>
      </w:pPr>
    </w:p>
    <w:p w14:paraId="56C10910" w14:textId="7A997FFE" w:rsidR="007A2C24" w:rsidRPr="00563555" w:rsidRDefault="007A2C24" w:rsidP="0026785C">
      <w:pPr>
        <w:rPr>
          <w:sz w:val="20"/>
          <w:szCs w:val="20"/>
        </w:rPr>
      </w:pPr>
      <w:r w:rsidRPr="00563555">
        <w:rPr>
          <w:sz w:val="20"/>
          <w:szCs w:val="20"/>
        </w:rPr>
        <w:t>Fiduciaries are prohibited from</w:t>
      </w:r>
      <w:r w:rsidR="007970CE" w:rsidRPr="00563555">
        <w:rPr>
          <w:sz w:val="20"/>
          <w:szCs w:val="20"/>
        </w:rPr>
        <w:t>:</w:t>
      </w:r>
    </w:p>
    <w:p w14:paraId="595C5773" w14:textId="77777777" w:rsidR="00F4685A" w:rsidRPr="00563555" w:rsidRDefault="00F4685A" w:rsidP="0026785C">
      <w:pPr>
        <w:rPr>
          <w:sz w:val="20"/>
          <w:szCs w:val="20"/>
        </w:rPr>
      </w:pPr>
    </w:p>
    <w:p w14:paraId="0B7569E3" w14:textId="6512D3F6" w:rsidR="007A2C24" w:rsidRPr="00563555" w:rsidRDefault="007A2C24" w:rsidP="005C4CED">
      <w:pPr>
        <w:pStyle w:val="ListParagraph"/>
        <w:numPr>
          <w:ilvl w:val="0"/>
          <w:numId w:val="16"/>
        </w:numPr>
        <w:rPr>
          <w:sz w:val="20"/>
          <w:szCs w:val="20"/>
        </w:rPr>
      </w:pPr>
      <w:r w:rsidRPr="00563555">
        <w:rPr>
          <w:i/>
          <w:iCs/>
          <w:sz w:val="20"/>
          <w:szCs w:val="20"/>
        </w:rPr>
        <w:t>Self-Dealing</w:t>
      </w:r>
      <w:r w:rsidRPr="00563555">
        <w:rPr>
          <w:sz w:val="20"/>
          <w:szCs w:val="20"/>
        </w:rPr>
        <w:t xml:space="preserve"> </w:t>
      </w:r>
      <w:r w:rsidR="00367C63" w:rsidRPr="00563555">
        <w:rPr>
          <w:sz w:val="20"/>
          <w:szCs w:val="20"/>
        </w:rPr>
        <w:t>(</w:t>
      </w:r>
      <w:r w:rsidRPr="00563555">
        <w:rPr>
          <w:sz w:val="20"/>
          <w:szCs w:val="20"/>
        </w:rPr>
        <w:t>e.g., providing advice that can increase your compensation</w:t>
      </w:r>
      <w:r w:rsidR="00367C63" w:rsidRPr="00563555">
        <w:rPr>
          <w:sz w:val="20"/>
          <w:szCs w:val="20"/>
        </w:rPr>
        <w:t>)</w:t>
      </w:r>
    </w:p>
    <w:p w14:paraId="326BDAEB" w14:textId="1E5A6853" w:rsidR="007A2C24" w:rsidRPr="00563555" w:rsidRDefault="007A2C24" w:rsidP="005C4CED">
      <w:pPr>
        <w:pStyle w:val="ListParagraph"/>
        <w:numPr>
          <w:ilvl w:val="0"/>
          <w:numId w:val="16"/>
        </w:numPr>
        <w:rPr>
          <w:sz w:val="20"/>
          <w:szCs w:val="20"/>
        </w:rPr>
      </w:pPr>
      <w:r w:rsidRPr="00563555">
        <w:rPr>
          <w:i/>
          <w:iCs/>
          <w:sz w:val="20"/>
          <w:szCs w:val="20"/>
        </w:rPr>
        <w:t>Dual Representation</w:t>
      </w:r>
      <w:r w:rsidRPr="00563555">
        <w:rPr>
          <w:sz w:val="20"/>
          <w:szCs w:val="20"/>
        </w:rPr>
        <w:t xml:space="preserve"> </w:t>
      </w:r>
      <w:r w:rsidR="0053251D" w:rsidRPr="00563555">
        <w:rPr>
          <w:sz w:val="20"/>
          <w:szCs w:val="20"/>
        </w:rPr>
        <w:t>(</w:t>
      </w:r>
      <w:r w:rsidRPr="00563555">
        <w:rPr>
          <w:sz w:val="20"/>
          <w:szCs w:val="20"/>
        </w:rPr>
        <w:t>e.g., acting on behalf both buyer and seller in a transaction involving plan or IRA assets</w:t>
      </w:r>
      <w:r w:rsidR="0053251D" w:rsidRPr="00563555">
        <w:rPr>
          <w:sz w:val="20"/>
          <w:szCs w:val="20"/>
        </w:rPr>
        <w:t>)</w:t>
      </w:r>
    </w:p>
    <w:p w14:paraId="6EBA3EB6" w14:textId="5C027CBA" w:rsidR="007A2C24" w:rsidRPr="00563555" w:rsidRDefault="007A2C24" w:rsidP="005C4CED">
      <w:pPr>
        <w:pStyle w:val="ListParagraph"/>
        <w:numPr>
          <w:ilvl w:val="0"/>
          <w:numId w:val="16"/>
        </w:numPr>
        <w:rPr>
          <w:sz w:val="20"/>
          <w:szCs w:val="20"/>
        </w:rPr>
      </w:pPr>
      <w:r w:rsidRPr="00563555">
        <w:rPr>
          <w:i/>
          <w:iCs/>
          <w:sz w:val="20"/>
          <w:szCs w:val="20"/>
        </w:rPr>
        <w:t>Receiving third-party payments</w:t>
      </w:r>
      <w:r w:rsidRPr="00563555">
        <w:rPr>
          <w:sz w:val="20"/>
          <w:szCs w:val="20"/>
        </w:rPr>
        <w:t xml:space="preserve"> </w:t>
      </w:r>
      <w:r w:rsidR="0053251D" w:rsidRPr="00563555">
        <w:rPr>
          <w:sz w:val="20"/>
          <w:szCs w:val="20"/>
        </w:rPr>
        <w:t>(</w:t>
      </w:r>
      <w:r w:rsidRPr="00563555">
        <w:rPr>
          <w:sz w:val="20"/>
          <w:szCs w:val="20"/>
        </w:rPr>
        <w:t>e.g., receiving compensation from anyone other than the client i.e., commissions, 12b-1, trail and/or solicitor fees, etc. for providing investment advice or exercising discretion</w:t>
      </w:r>
      <w:r w:rsidR="0053251D" w:rsidRPr="00563555">
        <w:rPr>
          <w:sz w:val="20"/>
          <w:szCs w:val="20"/>
        </w:rPr>
        <w:t>)</w:t>
      </w:r>
    </w:p>
    <w:p w14:paraId="65DEA011" w14:textId="77777777" w:rsidR="00F4685A" w:rsidRPr="00563555" w:rsidRDefault="00F4685A" w:rsidP="0026785C">
      <w:pPr>
        <w:rPr>
          <w:sz w:val="20"/>
          <w:szCs w:val="20"/>
        </w:rPr>
      </w:pPr>
    </w:p>
    <w:p w14:paraId="247B5EFC" w14:textId="77777777" w:rsidR="007A2C24" w:rsidRPr="00563555" w:rsidRDefault="007A2C24" w:rsidP="0026785C">
      <w:pPr>
        <w:rPr>
          <w:sz w:val="20"/>
          <w:szCs w:val="20"/>
        </w:rPr>
      </w:pPr>
      <w:r w:rsidRPr="00563555">
        <w:rPr>
          <w:sz w:val="20"/>
          <w:szCs w:val="20"/>
        </w:rPr>
        <w:t>Therefore, if rollover advice is fiduciary in nature, and it will result in one of the above prohibitions, the recommendation is a prohibited transaction.  As a result, the DOL has created a new prohibited transaction exemption.</w:t>
      </w:r>
    </w:p>
    <w:p w14:paraId="2BF7AF4F" w14:textId="77777777" w:rsidR="007A2C24" w:rsidRPr="00563555" w:rsidRDefault="007A2C24" w:rsidP="0026785C">
      <w:pPr>
        <w:rPr>
          <w:sz w:val="20"/>
          <w:szCs w:val="20"/>
        </w:rPr>
      </w:pPr>
    </w:p>
    <w:p w14:paraId="4D6C5507" w14:textId="77777777" w:rsidR="00A96CE7" w:rsidRDefault="00A96CE7" w:rsidP="0026785C">
      <w:pPr>
        <w:rPr>
          <w:sz w:val="20"/>
          <w:szCs w:val="20"/>
        </w:rPr>
      </w:pPr>
    </w:p>
    <w:p w14:paraId="2D8C3E40" w14:textId="77777777" w:rsidR="00A96CE7" w:rsidRDefault="00A96CE7" w:rsidP="0026785C">
      <w:pPr>
        <w:rPr>
          <w:sz w:val="20"/>
          <w:szCs w:val="20"/>
        </w:rPr>
      </w:pPr>
    </w:p>
    <w:p w14:paraId="556A2454" w14:textId="77777777" w:rsidR="00A96CE7" w:rsidRPr="00563555" w:rsidRDefault="00A96CE7" w:rsidP="0026785C">
      <w:pPr>
        <w:rPr>
          <w:sz w:val="20"/>
          <w:szCs w:val="20"/>
        </w:rPr>
      </w:pPr>
    </w:p>
    <w:p w14:paraId="580D214B" w14:textId="79821312" w:rsidR="007A2C24" w:rsidRPr="00371C71" w:rsidRDefault="00371C71" w:rsidP="00371C71">
      <w:pPr>
        <w:pStyle w:val="Heading2"/>
      </w:pPr>
      <w:r w:rsidRPr="00371C71">
        <w:t>POLICY</w:t>
      </w:r>
    </w:p>
    <w:p w14:paraId="0AC331E9" w14:textId="06C013C8" w:rsidR="007A2C24" w:rsidRPr="00563555" w:rsidRDefault="007A2C24" w:rsidP="0026785C">
      <w:pPr>
        <w:rPr>
          <w:sz w:val="20"/>
          <w:szCs w:val="20"/>
        </w:rPr>
      </w:pPr>
      <w:r w:rsidRPr="00563555">
        <w:rPr>
          <w:sz w:val="20"/>
          <w:szCs w:val="20"/>
        </w:rPr>
        <w:t>Our Firm i</w:t>
      </w:r>
      <w:r w:rsidR="00AF6913" w:rsidRPr="00563555">
        <w:rPr>
          <w:sz w:val="20"/>
          <w:szCs w:val="20"/>
        </w:rPr>
        <w:t>s</w:t>
      </w:r>
      <w:r w:rsidRPr="00563555">
        <w:rPr>
          <w:sz w:val="20"/>
          <w:szCs w:val="20"/>
        </w:rPr>
        <w:t xml:space="preserve"> </w:t>
      </w:r>
      <w:r w:rsidR="009061E4" w:rsidRPr="00563555">
        <w:rPr>
          <w:sz w:val="20"/>
          <w:szCs w:val="20"/>
        </w:rPr>
        <w:t>providing recommendations</w:t>
      </w:r>
      <w:r w:rsidRPr="00563555">
        <w:rPr>
          <w:sz w:val="20"/>
          <w:szCs w:val="20"/>
        </w:rPr>
        <w:t xml:space="preserve"> and therefore </w:t>
      </w:r>
      <w:r w:rsidR="00610A9A" w:rsidRPr="00563555">
        <w:rPr>
          <w:sz w:val="20"/>
          <w:szCs w:val="20"/>
        </w:rPr>
        <w:t>considered a</w:t>
      </w:r>
      <w:r w:rsidR="004C4754" w:rsidRPr="00563555">
        <w:rPr>
          <w:sz w:val="20"/>
          <w:szCs w:val="20"/>
        </w:rPr>
        <w:t xml:space="preserve"> </w:t>
      </w:r>
      <w:r w:rsidRPr="00563555">
        <w:rPr>
          <w:sz w:val="20"/>
          <w:szCs w:val="20"/>
        </w:rPr>
        <w:t xml:space="preserve">fiduciary </w:t>
      </w:r>
      <w:r w:rsidR="00610A9A" w:rsidRPr="00563555">
        <w:rPr>
          <w:sz w:val="20"/>
          <w:szCs w:val="20"/>
        </w:rPr>
        <w:t>by o</w:t>
      </w:r>
      <w:r w:rsidR="009061E4" w:rsidRPr="00563555">
        <w:rPr>
          <w:sz w:val="20"/>
          <w:szCs w:val="20"/>
        </w:rPr>
        <w:t xml:space="preserve">ffering “investment </w:t>
      </w:r>
      <w:r w:rsidRPr="00563555">
        <w:rPr>
          <w:sz w:val="20"/>
          <w:szCs w:val="20"/>
        </w:rPr>
        <w:t>advice</w:t>
      </w:r>
      <w:r w:rsidR="00D77999">
        <w:rPr>
          <w:sz w:val="20"/>
          <w:szCs w:val="20"/>
        </w:rPr>
        <w:t xml:space="preserve"> and recommendations</w:t>
      </w:r>
      <w:r w:rsidR="009061E4" w:rsidRPr="00563555">
        <w:rPr>
          <w:sz w:val="20"/>
          <w:szCs w:val="20"/>
        </w:rPr>
        <w:t>”</w:t>
      </w:r>
      <w:r w:rsidR="004C4754" w:rsidRPr="00563555">
        <w:rPr>
          <w:sz w:val="20"/>
          <w:szCs w:val="20"/>
        </w:rPr>
        <w:t>.</w:t>
      </w:r>
      <w:r w:rsidR="009061E4" w:rsidRPr="00563555">
        <w:rPr>
          <w:sz w:val="20"/>
          <w:szCs w:val="20"/>
        </w:rPr>
        <w:t xml:space="preserve"> </w:t>
      </w:r>
      <w:r w:rsidRPr="00563555">
        <w:rPr>
          <w:sz w:val="20"/>
          <w:szCs w:val="20"/>
        </w:rPr>
        <w:t xml:space="preserve"> </w:t>
      </w:r>
      <w:r w:rsidR="004C4754" w:rsidRPr="00563555">
        <w:rPr>
          <w:sz w:val="20"/>
          <w:szCs w:val="20"/>
        </w:rPr>
        <w:t>W</w:t>
      </w:r>
      <w:r w:rsidRPr="00563555">
        <w:rPr>
          <w:sz w:val="20"/>
          <w:szCs w:val="20"/>
        </w:rPr>
        <w:t xml:space="preserve">e will adhere to standards designed to ensure that our investment recommendations reflect the best interest of plan and IRA investors. </w:t>
      </w:r>
      <w:r w:rsidR="009E4491" w:rsidRPr="00563555">
        <w:rPr>
          <w:sz w:val="20"/>
          <w:szCs w:val="20"/>
        </w:rPr>
        <w:t xml:space="preserve"> </w:t>
      </w:r>
      <w:r w:rsidRPr="00563555">
        <w:rPr>
          <w:sz w:val="20"/>
          <w:szCs w:val="20"/>
        </w:rPr>
        <w:t>Since our Firm is relying on the exemption, our Firm will</w:t>
      </w:r>
      <w:r w:rsidR="00235721" w:rsidRPr="00563555">
        <w:rPr>
          <w:sz w:val="20"/>
          <w:szCs w:val="20"/>
        </w:rPr>
        <w:t xml:space="preserve"> follow the following conditions as outlined in PTE</w:t>
      </w:r>
      <w:r w:rsidR="00E32982" w:rsidRPr="00563555">
        <w:rPr>
          <w:sz w:val="20"/>
          <w:szCs w:val="20"/>
        </w:rPr>
        <w:t xml:space="preserve"> 2020-02</w:t>
      </w:r>
      <w:r w:rsidRPr="00563555">
        <w:rPr>
          <w:sz w:val="20"/>
          <w:szCs w:val="20"/>
        </w:rPr>
        <w:t>:</w:t>
      </w:r>
    </w:p>
    <w:p w14:paraId="7D5E6E30" w14:textId="77777777" w:rsidR="007A2C24" w:rsidRPr="00563555" w:rsidRDefault="007A2C24" w:rsidP="0026785C">
      <w:pPr>
        <w:rPr>
          <w:sz w:val="20"/>
          <w:szCs w:val="20"/>
        </w:rPr>
      </w:pPr>
    </w:p>
    <w:p w14:paraId="2AB630A2" w14:textId="4BB03885" w:rsidR="007A2C24" w:rsidRPr="00563555" w:rsidRDefault="00DF527B" w:rsidP="005C4CED">
      <w:pPr>
        <w:pStyle w:val="ListParagraph"/>
        <w:numPr>
          <w:ilvl w:val="0"/>
          <w:numId w:val="17"/>
        </w:numPr>
        <w:rPr>
          <w:sz w:val="20"/>
          <w:szCs w:val="20"/>
        </w:rPr>
      </w:pPr>
      <w:r w:rsidRPr="00563555">
        <w:rPr>
          <w:b/>
          <w:bCs/>
          <w:sz w:val="20"/>
          <w:szCs w:val="20"/>
        </w:rPr>
        <w:t>ACKNOWLEDGE</w:t>
      </w:r>
      <w:r w:rsidR="007A2C24" w:rsidRPr="00563555">
        <w:rPr>
          <w:sz w:val="20"/>
          <w:szCs w:val="20"/>
        </w:rPr>
        <w:t xml:space="preserve"> their fiduciary status in writing</w:t>
      </w:r>
      <w:r w:rsidR="00E32982" w:rsidRPr="00563555">
        <w:rPr>
          <w:sz w:val="20"/>
          <w:szCs w:val="20"/>
        </w:rPr>
        <w:t xml:space="preserve"> (either through our Part 2A Brochure or the IRA Rollover </w:t>
      </w:r>
      <w:r w:rsidR="00B4710F" w:rsidRPr="00563555">
        <w:rPr>
          <w:sz w:val="20"/>
          <w:szCs w:val="20"/>
        </w:rPr>
        <w:t>worksheet/client attestation)</w:t>
      </w:r>
    </w:p>
    <w:p w14:paraId="2A7480CF" w14:textId="4B5125C4" w:rsidR="007A2C24" w:rsidRPr="00563555" w:rsidRDefault="00DF527B" w:rsidP="005C4CED">
      <w:pPr>
        <w:pStyle w:val="ListParagraph"/>
        <w:numPr>
          <w:ilvl w:val="0"/>
          <w:numId w:val="17"/>
        </w:numPr>
        <w:rPr>
          <w:sz w:val="20"/>
          <w:szCs w:val="20"/>
        </w:rPr>
      </w:pPr>
      <w:r w:rsidRPr="00563555">
        <w:rPr>
          <w:b/>
          <w:bCs/>
          <w:sz w:val="20"/>
          <w:szCs w:val="20"/>
        </w:rPr>
        <w:t>DISCLOSE</w:t>
      </w:r>
      <w:r w:rsidR="007A2C24" w:rsidRPr="00563555">
        <w:rPr>
          <w:sz w:val="20"/>
          <w:szCs w:val="20"/>
        </w:rPr>
        <w:t xml:space="preserve"> their services and material conflicts of interest</w:t>
      </w:r>
      <w:r w:rsidR="007F6456" w:rsidRPr="00563555">
        <w:rPr>
          <w:sz w:val="20"/>
          <w:szCs w:val="20"/>
        </w:rPr>
        <w:t xml:space="preserve"> through our ADV Part</w:t>
      </w:r>
      <w:r w:rsidR="00076FA6" w:rsidRPr="00563555">
        <w:rPr>
          <w:sz w:val="20"/>
          <w:szCs w:val="20"/>
        </w:rPr>
        <w:t xml:space="preserve"> 2A</w:t>
      </w:r>
      <w:r w:rsidR="00904198">
        <w:rPr>
          <w:sz w:val="20"/>
          <w:szCs w:val="20"/>
        </w:rPr>
        <w:t xml:space="preserve"> and/or Form CRS</w:t>
      </w:r>
    </w:p>
    <w:p w14:paraId="527E4364" w14:textId="1EB26FDD" w:rsidR="007A2C24" w:rsidRPr="00563555" w:rsidRDefault="00DF527B" w:rsidP="005C4CED">
      <w:pPr>
        <w:pStyle w:val="ListParagraph"/>
        <w:numPr>
          <w:ilvl w:val="0"/>
          <w:numId w:val="17"/>
        </w:numPr>
        <w:rPr>
          <w:sz w:val="20"/>
          <w:szCs w:val="20"/>
        </w:rPr>
      </w:pPr>
      <w:r w:rsidRPr="00DF527B">
        <w:rPr>
          <w:b/>
          <w:bCs/>
          <w:sz w:val="20"/>
          <w:szCs w:val="20"/>
        </w:rPr>
        <w:t>ADHERE</w:t>
      </w:r>
      <w:r w:rsidR="007A2C24" w:rsidRPr="00563555">
        <w:rPr>
          <w:sz w:val="20"/>
          <w:szCs w:val="20"/>
        </w:rPr>
        <w:t xml:space="preserve"> to Impartial Conduct Standards requiring that:</w:t>
      </w:r>
    </w:p>
    <w:p w14:paraId="50EC2406" w14:textId="5E44A0D1" w:rsidR="007A2C24" w:rsidRPr="00482A57" w:rsidRDefault="00975BAD" w:rsidP="005C4CED">
      <w:pPr>
        <w:pStyle w:val="ListParagraph"/>
        <w:numPr>
          <w:ilvl w:val="1"/>
          <w:numId w:val="1"/>
        </w:numPr>
        <w:rPr>
          <w:sz w:val="20"/>
          <w:szCs w:val="20"/>
        </w:rPr>
      </w:pPr>
      <w:r w:rsidRPr="00482A57">
        <w:rPr>
          <w:sz w:val="20"/>
          <w:szCs w:val="20"/>
        </w:rPr>
        <w:t>I</w:t>
      </w:r>
      <w:r w:rsidR="007A2C24" w:rsidRPr="00482A57">
        <w:rPr>
          <w:sz w:val="20"/>
          <w:szCs w:val="20"/>
        </w:rPr>
        <w:t xml:space="preserve">nvestigate and evaluate investments, provide advice, and exercise sound judgment in the same way that knowledgeable and impartial professionals would (i.e., </w:t>
      </w:r>
      <w:r w:rsidR="007A2C24" w:rsidRPr="00482A57">
        <w:rPr>
          <w:i/>
          <w:iCs/>
          <w:sz w:val="20"/>
          <w:szCs w:val="20"/>
        </w:rPr>
        <w:t>the recommendations must be “prudent”),</w:t>
      </w:r>
    </w:p>
    <w:p w14:paraId="0E2EEC13" w14:textId="09DA5AE7" w:rsidR="007A2C24" w:rsidRPr="00482A57" w:rsidRDefault="00975BAD" w:rsidP="005C4CED">
      <w:pPr>
        <w:pStyle w:val="ListParagraph"/>
        <w:numPr>
          <w:ilvl w:val="1"/>
          <w:numId w:val="1"/>
        </w:numPr>
        <w:rPr>
          <w:sz w:val="20"/>
          <w:szCs w:val="20"/>
        </w:rPr>
      </w:pPr>
      <w:r w:rsidRPr="00482A57">
        <w:rPr>
          <w:sz w:val="20"/>
          <w:szCs w:val="20"/>
        </w:rPr>
        <w:t>A</w:t>
      </w:r>
      <w:r w:rsidR="007A2C24" w:rsidRPr="00482A57">
        <w:rPr>
          <w:sz w:val="20"/>
          <w:szCs w:val="20"/>
        </w:rPr>
        <w:t>ct with undivided loyalty to retirement investors when making recommendations (in other words, our Firm must never place our own interests ahead of the interests of the retirement investor, or subordinate the retirement investor’s interests to their own),</w:t>
      </w:r>
    </w:p>
    <w:p w14:paraId="39234BFA" w14:textId="1AF54BAE" w:rsidR="007A2C24" w:rsidRPr="00482A57" w:rsidRDefault="00E23BA3" w:rsidP="005C4CED">
      <w:pPr>
        <w:pStyle w:val="ListParagraph"/>
        <w:numPr>
          <w:ilvl w:val="1"/>
          <w:numId w:val="1"/>
        </w:numPr>
        <w:rPr>
          <w:sz w:val="20"/>
          <w:szCs w:val="20"/>
        </w:rPr>
      </w:pPr>
      <w:r w:rsidRPr="00482A57">
        <w:rPr>
          <w:sz w:val="20"/>
          <w:szCs w:val="20"/>
        </w:rPr>
        <w:t>C</w:t>
      </w:r>
      <w:r w:rsidR="007A2C24" w:rsidRPr="00482A57">
        <w:rPr>
          <w:sz w:val="20"/>
          <w:szCs w:val="20"/>
        </w:rPr>
        <w:t xml:space="preserve">harge no more than reasonable compensation and comply with federal securities laws regarding “best execution,” </w:t>
      </w:r>
    </w:p>
    <w:p w14:paraId="33375485" w14:textId="77777777" w:rsidR="00F4560A" w:rsidRPr="00482A57" w:rsidRDefault="00E23BA3" w:rsidP="005C4CED">
      <w:pPr>
        <w:pStyle w:val="ListParagraph"/>
        <w:numPr>
          <w:ilvl w:val="1"/>
          <w:numId w:val="1"/>
        </w:numPr>
        <w:rPr>
          <w:sz w:val="20"/>
          <w:szCs w:val="20"/>
        </w:rPr>
      </w:pPr>
      <w:r w:rsidRPr="00482A57">
        <w:rPr>
          <w:sz w:val="20"/>
          <w:szCs w:val="20"/>
        </w:rPr>
        <w:t>A</w:t>
      </w:r>
      <w:r w:rsidR="007A2C24" w:rsidRPr="00482A57">
        <w:rPr>
          <w:sz w:val="20"/>
          <w:szCs w:val="20"/>
        </w:rPr>
        <w:t>void making misleading statements about investment transactions and other relevant matters</w:t>
      </w:r>
      <w:r w:rsidR="00102233" w:rsidRPr="00482A57">
        <w:rPr>
          <w:sz w:val="20"/>
          <w:szCs w:val="20"/>
        </w:rPr>
        <w:t>.</w:t>
      </w:r>
    </w:p>
    <w:p w14:paraId="0B070094" w14:textId="0691A741" w:rsidR="00F4560A" w:rsidRPr="00482A57" w:rsidRDefault="00D17957" w:rsidP="00D17957">
      <w:pPr>
        <w:pStyle w:val="ListParagraph"/>
        <w:numPr>
          <w:ilvl w:val="0"/>
          <w:numId w:val="21"/>
        </w:numPr>
        <w:rPr>
          <w:sz w:val="20"/>
          <w:szCs w:val="20"/>
        </w:rPr>
      </w:pPr>
      <w:r w:rsidRPr="00482A57">
        <w:rPr>
          <w:b/>
          <w:bCs/>
          <w:sz w:val="20"/>
          <w:szCs w:val="20"/>
        </w:rPr>
        <w:t>ADOPT POLICIES AND PROCEDURES</w:t>
      </w:r>
      <w:r w:rsidR="007A2C24" w:rsidRPr="00482A57">
        <w:rPr>
          <w:sz w:val="20"/>
          <w:szCs w:val="20"/>
        </w:rPr>
        <w:t xml:space="preserve"> prudently designed to ensure compliance with the Impartial</w:t>
      </w:r>
      <w:r w:rsidR="00145A19" w:rsidRPr="00482A57">
        <w:rPr>
          <w:sz w:val="20"/>
          <w:szCs w:val="20"/>
        </w:rPr>
        <w:t xml:space="preserve"> </w:t>
      </w:r>
      <w:r w:rsidR="007A2C24" w:rsidRPr="00482A57">
        <w:rPr>
          <w:sz w:val="20"/>
          <w:szCs w:val="20"/>
        </w:rPr>
        <w:t>Conduct Standards and to mitigate conflicts of interest that could otherwise cause</w:t>
      </w:r>
      <w:r w:rsidR="00E717FD" w:rsidRPr="00482A57">
        <w:rPr>
          <w:sz w:val="20"/>
          <w:szCs w:val="20"/>
        </w:rPr>
        <w:t xml:space="preserve"> </w:t>
      </w:r>
      <w:r w:rsidR="007A2C24" w:rsidRPr="00482A57">
        <w:rPr>
          <w:sz w:val="20"/>
          <w:szCs w:val="20"/>
        </w:rPr>
        <w:t>violations of those standards</w:t>
      </w:r>
      <w:r w:rsidR="00102233" w:rsidRPr="00482A57">
        <w:rPr>
          <w:sz w:val="20"/>
          <w:szCs w:val="20"/>
        </w:rPr>
        <w:t xml:space="preserve"> as </w:t>
      </w:r>
      <w:r w:rsidR="00464D35" w:rsidRPr="00482A57">
        <w:rPr>
          <w:sz w:val="20"/>
          <w:szCs w:val="20"/>
        </w:rPr>
        <w:t xml:space="preserve">adopted </w:t>
      </w:r>
      <w:r w:rsidR="00102233" w:rsidRPr="00482A57">
        <w:rPr>
          <w:sz w:val="20"/>
          <w:szCs w:val="20"/>
        </w:rPr>
        <w:t xml:space="preserve">in this </w:t>
      </w:r>
      <w:r w:rsidR="00464D35" w:rsidRPr="00482A57">
        <w:rPr>
          <w:sz w:val="20"/>
          <w:szCs w:val="20"/>
        </w:rPr>
        <w:t xml:space="preserve">section and </w:t>
      </w:r>
      <w:r w:rsidR="00102233" w:rsidRPr="00482A57">
        <w:rPr>
          <w:sz w:val="20"/>
          <w:szCs w:val="20"/>
        </w:rPr>
        <w:t>document</w:t>
      </w:r>
      <w:r w:rsidR="00464D35" w:rsidRPr="00482A57">
        <w:rPr>
          <w:sz w:val="20"/>
          <w:szCs w:val="20"/>
        </w:rPr>
        <w:t xml:space="preserve"> </w:t>
      </w:r>
      <w:r w:rsidR="004A3170" w:rsidRPr="00482A57">
        <w:rPr>
          <w:sz w:val="20"/>
          <w:szCs w:val="20"/>
        </w:rPr>
        <w:t>(</w:t>
      </w:r>
      <w:r w:rsidR="00464D35" w:rsidRPr="00482A57">
        <w:rPr>
          <w:sz w:val="20"/>
          <w:szCs w:val="20"/>
        </w:rPr>
        <w:t>Firm’s Compliance Manual)</w:t>
      </w:r>
      <w:r w:rsidR="00102233" w:rsidRPr="00482A57">
        <w:rPr>
          <w:sz w:val="20"/>
          <w:szCs w:val="20"/>
        </w:rPr>
        <w:t>.</w:t>
      </w:r>
    </w:p>
    <w:p w14:paraId="292D541C" w14:textId="24AE7E6A" w:rsidR="00503622" w:rsidRPr="00DC494C" w:rsidRDefault="00D17957" w:rsidP="00D17957">
      <w:pPr>
        <w:pStyle w:val="ListParagraph"/>
        <w:numPr>
          <w:ilvl w:val="0"/>
          <w:numId w:val="22"/>
        </w:numPr>
        <w:rPr>
          <w:b/>
          <w:sz w:val="20"/>
          <w:szCs w:val="20"/>
        </w:rPr>
      </w:pPr>
      <w:r w:rsidRPr="00D17957">
        <w:rPr>
          <w:b/>
          <w:bCs/>
          <w:sz w:val="20"/>
          <w:szCs w:val="20"/>
        </w:rPr>
        <w:t>DOCUMENT AND DISCLOSE</w:t>
      </w:r>
      <w:r w:rsidR="007A2C24" w:rsidRPr="00482A57">
        <w:rPr>
          <w:sz w:val="20"/>
          <w:szCs w:val="20"/>
        </w:rPr>
        <w:t xml:space="preserve"> the specific reasons that any rollover recommendation is in the</w:t>
      </w:r>
      <w:r w:rsidR="00E717FD" w:rsidRPr="00563555">
        <w:rPr>
          <w:sz w:val="20"/>
          <w:szCs w:val="20"/>
        </w:rPr>
        <w:t xml:space="preserve"> </w:t>
      </w:r>
      <w:r w:rsidR="007A2C24" w:rsidRPr="00563555">
        <w:rPr>
          <w:sz w:val="20"/>
          <w:szCs w:val="20"/>
        </w:rPr>
        <w:t>retirement investor’s best interest</w:t>
      </w:r>
      <w:r w:rsidR="00E717FD" w:rsidRPr="00563555">
        <w:rPr>
          <w:sz w:val="20"/>
          <w:szCs w:val="20"/>
        </w:rPr>
        <w:t xml:space="preserve"> </w:t>
      </w:r>
      <w:r w:rsidR="004A3170" w:rsidRPr="00563555">
        <w:rPr>
          <w:sz w:val="20"/>
          <w:szCs w:val="20"/>
        </w:rPr>
        <w:t xml:space="preserve">using our Firm’s </w:t>
      </w:r>
      <w:r w:rsidR="004A3170" w:rsidRPr="00DC494C">
        <w:rPr>
          <w:b/>
          <w:sz w:val="20"/>
          <w:szCs w:val="20"/>
        </w:rPr>
        <w:t>IRA Rollover Worksheet</w:t>
      </w:r>
      <w:r w:rsidR="00503622" w:rsidRPr="00DC494C">
        <w:rPr>
          <w:b/>
          <w:sz w:val="20"/>
          <w:szCs w:val="20"/>
        </w:rPr>
        <w:t xml:space="preserve"> – Comprehensive Analysis form.</w:t>
      </w:r>
    </w:p>
    <w:p w14:paraId="399B78AC" w14:textId="12C99D46" w:rsidR="007A2C24" w:rsidRPr="00563555" w:rsidRDefault="00DF527B" w:rsidP="005C4CED">
      <w:pPr>
        <w:pStyle w:val="ListParagraph"/>
        <w:numPr>
          <w:ilvl w:val="0"/>
          <w:numId w:val="2"/>
        </w:numPr>
        <w:rPr>
          <w:sz w:val="20"/>
          <w:szCs w:val="20"/>
        </w:rPr>
      </w:pPr>
      <w:r w:rsidRPr="00563555">
        <w:rPr>
          <w:b/>
          <w:bCs/>
          <w:sz w:val="20"/>
          <w:szCs w:val="20"/>
        </w:rPr>
        <w:t>CONDUCT</w:t>
      </w:r>
      <w:r w:rsidR="007A2C24" w:rsidRPr="00563555">
        <w:rPr>
          <w:sz w:val="20"/>
          <w:szCs w:val="20"/>
        </w:rPr>
        <w:t xml:space="preserve"> an annual retrospective compliance review</w:t>
      </w:r>
      <w:r w:rsidR="00932E1C" w:rsidRPr="00563555">
        <w:rPr>
          <w:sz w:val="20"/>
          <w:szCs w:val="20"/>
        </w:rPr>
        <w:t xml:space="preserve"> by the CCO</w:t>
      </w:r>
      <w:r w:rsidR="007A2C24" w:rsidRPr="00563555">
        <w:rPr>
          <w:sz w:val="20"/>
          <w:szCs w:val="20"/>
        </w:rPr>
        <w:t>.</w:t>
      </w:r>
    </w:p>
    <w:p w14:paraId="1C7137BA" w14:textId="77777777" w:rsidR="007A2C24" w:rsidRPr="00563555" w:rsidRDefault="007A2C24" w:rsidP="0026785C">
      <w:pPr>
        <w:rPr>
          <w:sz w:val="20"/>
          <w:szCs w:val="20"/>
        </w:rPr>
      </w:pPr>
    </w:p>
    <w:p w14:paraId="7DE834BA" w14:textId="77777777" w:rsidR="00FD7710" w:rsidRDefault="004468C9" w:rsidP="0026785C">
      <w:pPr>
        <w:rPr>
          <w:sz w:val="20"/>
          <w:szCs w:val="20"/>
        </w:rPr>
      </w:pPr>
      <w:r w:rsidRPr="00563555">
        <w:rPr>
          <w:sz w:val="20"/>
          <w:szCs w:val="20"/>
        </w:rPr>
        <w:t>O</w:t>
      </w:r>
      <w:r w:rsidR="007A2C24" w:rsidRPr="00563555">
        <w:rPr>
          <w:sz w:val="20"/>
          <w:szCs w:val="20"/>
        </w:rPr>
        <w:t xml:space="preserve">ur Firm must document and disclose in writing the specific reasons that a rollover recommendation is in the retirement investor’s best interest. In doing so, our Firm will consider the client’s alternatives to a rollover, such as leaving the money in an employer’s plan and taking advantage of the investment options available in that plan, including available options other than those reflected in the retirement investor’s current plan holdings. Our Firm is expected to make diligent and prudent efforts to obtain information about the existing employee benefit plan and the participant’s interests in it. </w:t>
      </w:r>
    </w:p>
    <w:p w14:paraId="3E739ADC" w14:textId="0DBDFF16" w:rsidR="007A2C24" w:rsidRPr="00563555" w:rsidRDefault="00D12BBB" w:rsidP="0026785C">
      <w:pPr>
        <w:rPr>
          <w:i/>
          <w:iCs/>
          <w:sz w:val="20"/>
          <w:szCs w:val="20"/>
        </w:rPr>
      </w:pPr>
      <w:r>
        <w:rPr>
          <w:b/>
          <w:bCs/>
          <w:sz w:val="20"/>
          <w:szCs w:val="20"/>
          <w:highlight w:val="yellow"/>
        </w:rPr>
        <w:t xml:space="preserve">Please </w:t>
      </w:r>
      <w:r w:rsidR="00CC1D10">
        <w:rPr>
          <w:b/>
          <w:bCs/>
          <w:sz w:val="20"/>
          <w:szCs w:val="20"/>
          <w:highlight w:val="yellow"/>
        </w:rPr>
        <w:t>refer to</w:t>
      </w:r>
      <w:r w:rsidR="00FD7710">
        <w:rPr>
          <w:b/>
          <w:bCs/>
          <w:sz w:val="20"/>
          <w:szCs w:val="20"/>
          <w:highlight w:val="yellow"/>
        </w:rPr>
        <w:t xml:space="preserve">: </w:t>
      </w:r>
      <w:r w:rsidR="006E1268" w:rsidRPr="00D12BBB">
        <w:rPr>
          <w:b/>
          <w:sz w:val="20"/>
          <w:szCs w:val="20"/>
          <w:highlight w:val="yellow"/>
        </w:rPr>
        <w:t xml:space="preserve"> IRA Rollover Worksheet</w:t>
      </w:r>
      <w:r w:rsidR="00D149E1" w:rsidRPr="00D12BBB">
        <w:rPr>
          <w:b/>
          <w:sz w:val="20"/>
          <w:szCs w:val="20"/>
          <w:highlight w:val="yellow"/>
        </w:rPr>
        <w:t xml:space="preserve"> </w:t>
      </w:r>
      <w:r w:rsidR="00FD6990" w:rsidRPr="00D12BBB">
        <w:rPr>
          <w:b/>
          <w:sz w:val="20"/>
          <w:szCs w:val="20"/>
          <w:highlight w:val="yellow"/>
        </w:rPr>
        <w:t>–</w:t>
      </w:r>
      <w:r w:rsidR="00D149E1" w:rsidRPr="00D12BBB">
        <w:rPr>
          <w:b/>
          <w:sz w:val="20"/>
          <w:szCs w:val="20"/>
          <w:highlight w:val="yellow"/>
        </w:rPr>
        <w:t xml:space="preserve"> Compre</w:t>
      </w:r>
      <w:r w:rsidR="00FD6990" w:rsidRPr="00D12BBB">
        <w:rPr>
          <w:b/>
          <w:sz w:val="20"/>
          <w:szCs w:val="20"/>
          <w:highlight w:val="yellow"/>
        </w:rPr>
        <w:t>hensive Analysis</w:t>
      </w:r>
      <w:r w:rsidR="00DF527B" w:rsidRPr="00D12BBB">
        <w:rPr>
          <w:b/>
          <w:sz w:val="20"/>
          <w:szCs w:val="20"/>
          <w:highlight w:val="yellow"/>
        </w:rPr>
        <w:t xml:space="preserve"> form</w:t>
      </w:r>
      <w:r w:rsidR="00FD6990" w:rsidRPr="00D12BBB">
        <w:rPr>
          <w:b/>
          <w:sz w:val="20"/>
          <w:szCs w:val="20"/>
          <w:highlight w:val="yellow"/>
        </w:rPr>
        <w:t>.</w:t>
      </w:r>
    </w:p>
    <w:p w14:paraId="7408BDEA" w14:textId="77777777" w:rsidR="007A2C24" w:rsidRPr="00563555" w:rsidRDefault="007A2C24" w:rsidP="0026785C">
      <w:pPr>
        <w:rPr>
          <w:sz w:val="20"/>
          <w:szCs w:val="20"/>
        </w:rPr>
      </w:pPr>
    </w:p>
    <w:p w14:paraId="0E6AAB9A" w14:textId="55B9C495" w:rsidR="007A2C24" w:rsidRPr="00563555" w:rsidRDefault="005D3AB1" w:rsidP="00DF527B">
      <w:pPr>
        <w:pStyle w:val="Heading2"/>
      </w:pPr>
      <w:r w:rsidRPr="009616AA">
        <w:t>IMPARTIAL CONDUCT STANDARDS</w:t>
      </w:r>
    </w:p>
    <w:p w14:paraId="452584B7" w14:textId="77777777" w:rsidR="00697CE9" w:rsidRPr="00563555" w:rsidRDefault="007A2C24" w:rsidP="0026785C">
      <w:pPr>
        <w:rPr>
          <w:sz w:val="20"/>
          <w:szCs w:val="20"/>
        </w:rPr>
      </w:pPr>
      <w:r w:rsidRPr="00563555">
        <w:rPr>
          <w:sz w:val="20"/>
          <w:szCs w:val="20"/>
        </w:rPr>
        <w:t xml:space="preserve">The Impartial Conduct Standards are consumer protection standards that ensure that investment professionals adhere to fiduciary norms and basic standards of fair dealing. </w:t>
      </w:r>
    </w:p>
    <w:p w14:paraId="66E79D5E" w14:textId="77777777" w:rsidR="00697CE9" w:rsidRPr="00563555" w:rsidRDefault="00697CE9" w:rsidP="0026785C">
      <w:pPr>
        <w:rPr>
          <w:sz w:val="20"/>
          <w:szCs w:val="20"/>
        </w:rPr>
      </w:pPr>
    </w:p>
    <w:p w14:paraId="2D45F482" w14:textId="62E42EE3" w:rsidR="007A2C24" w:rsidRPr="00563555" w:rsidRDefault="007A2C24" w:rsidP="0026785C">
      <w:pPr>
        <w:rPr>
          <w:sz w:val="20"/>
          <w:szCs w:val="20"/>
        </w:rPr>
      </w:pPr>
      <w:r w:rsidRPr="00563555">
        <w:rPr>
          <w:sz w:val="20"/>
          <w:szCs w:val="20"/>
        </w:rPr>
        <w:t>The standards specifically require investment professionals to:</w:t>
      </w:r>
    </w:p>
    <w:p w14:paraId="0A6393F5" w14:textId="77777777" w:rsidR="00503622" w:rsidRPr="00563555" w:rsidRDefault="00503622" w:rsidP="0026785C">
      <w:pPr>
        <w:rPr>
          <w:sz w:val="20"/>
          <w:szCs w:val="20"/>
        </w:rPr>
      </w:pPr>
    </w:p>
    <w:p w14:paraId="3C6F162D" w14:textId="3A84B709" w:rsidR="005D3521" w:rsidRPr="00563555" w:rsidRDefault="007A2C24" w:rsidP="005C4CED">
      <w:pPr>
        <w:pStyle w:val="ListParagraph"/>
        <w:numPr>
          <w:ilvl w:val="0"/>
          <w:numId w:val="18"/>
        </w:numPr>
        <w:rPr>
          <w:sz w:val="20"/>
          <w:szCs w:val="20"/>
        </w:rPr>
      </w:pPr>
      <w:r w:rsidRPr="00563555">
        <w:rPr>
          <w:sz w:val="20"/>
          <w:szCs w:val="20"/>
        </w:rPr>
        <w:t>Give advice that is in the “best interest” of the retirement investor. This best interest standard has two chief components: prudence and loyalty</w:t>
      </w:r>
      <w:r w:rsidR="00D66292" w:rsidRPr="00563555">
        <w:rPr>
          <w:sz w:val="20"/>
          <w:szCs w:val="20"/>
        </w:rPr>
        <w:t>.</w:t>
      </w:r>
    </w:p>
    <w:p w14:paraId="4B1AB4D2" w14:textId="77777777" w:rsidR="00503622" w:rsidRPr="00563555" w:rsidRDefault="007A2C24" w:rsidP="005C4CED">
      <w:pPr>
        <w:pStyle w:val="ListParagraph"/>
        <w:numPr>
          <w:ilvl w:val="0"/>
          <w:numId w:val="18"/>
        </w:numPr>
        <w:rPr>
          <w:sz w:val="20"/>
          <w:szCs w:val="20"/>
        </w:rPr>
      </w:pPr>
      <w:r w:rsidRPr="00563555">
        <w:rPr>
          <w:sz w:val="20"/>
          <w:szCs w:val="20"/>
        </w:rPr>
        <w:t>Under the prudence standard, the advice must meet a professional standard of care as</w:t>
      </w:r>
      <w:r w:rsidR="007A4613" w:rsidRPr="00563555">
        <w:rPr>
          <w:sz w:val="20"/>
          <w:szCs w:val="20"/>
        </w:rPr>
        <w:t xml:space="preserve"> </w:t>
      </w:r>
      <w:r w:rsidRPr="00563555">
        <w:rPr>
          <w:sz w:val="20"/>
          <w:szCs w:val="20"/>
        </w:rPr>
        <w:t>specified in the text of the exemption;</w:t>
      </w:r>
    </w:p>
    <w:p w14:paraId="1877FD32" w14:textId="532199EB" w:rsidR="005D3521" w:rsidRPr="00563555" w:rsidRDefault="007A2C24" w:rsidP="005C4CED">
      <w:pPr>
        <w:pStyle w:val="ListParagraph"/>
        <w:numPr>
          <w:ilvl w:val="0"/>
          <w:numId w:val="18"/>
        </w:numPr>
        <w:rPr>
          <w:sz w:val="20"/>
          <w:szCs w:val="20"/>
        </w:rPr>
      </w:pPr>
      <w:r w:rsidRPr="00563555">
        <w:rPr>
          <w:sz w:val="20"/>
          <w:szCs w:val="20"/>
        </w:rPr>
        <w:t>Under the loyalty standard, our Firm may not place their own interests ahead</w:t>
      </w:r>
      <w:r w:rsidR="00C10A06" w:rsidRPr="00563555">
        <w:rPr>
          <w:sz w:val="20"/>
          <w:szCs w:val="20"/>
        </w:rPr>
        <w:t xml:space="preserve"> </w:t>
      </w:r>
      <w:r w:rsidRPr="00563555">
        <w:rPr>
          <w:sz w:val="20"/>
          <w:szCs w:val="20"/>
        </w:rPr>
        <w:t>of the interests of the retirement investor, or subordinate the retirement investor’s</w:t>
      </w:r>
      <w:r w:rsidR="005D3AB1" w:rsidRPr="00563555">
        <w:rPr>
          <w:sz w:val="20"/>
          <w:szCs w:val="20"/>
        </w:rPr>
        <w:t xml:space="preserve"> </w:t>
      </w:r>
      <w:r w:rsidRPr="00563555">
        <w:rPr>
          <w:sz w:val="20"/>
          <w:szCs w:val="20"/>
        </w:rPr>
        <w:t>interests to their own;</w:t>
      </w:r>
    </w:p>
    <w:p w14:paraId="0EA9640D" w14:textId="77777777" w:rsidR="00503622" w:rsidRPr="00563555" w:rsidRDefault="007A2C24" w:rsidP="005C4CED">
      <w:pPr>
        <w:pStyle w:val="ListParagraph"/>
        <w:numPr>
          <w:ilvl w:val="0"/>
          <w:numId w:val="18"/>
        </w:numPr>
        <w:rPr>
          <w:sz w:val="20"/>
          <w:szCs w:val="20"/>
        </w:rPr>
      </w:pPr>
      <w:r w:rsidRPr="00563555">
        <w:rPr>
          <w:sz w:val="20"/>
          <w:szCs w:val="20"/>
        </w:rPr>
        <w:t>Charge no more than reasonable compensation and comply with federal securities laws regarding “best execution”; and</w:t>
      </w:r>
    </w:p>
    <w:p w14:paraId="0BD06431" w14:textId="32461BD2" w:rsidR="00C56593" w:rsidRPr="00C56593" w:rsidRDefault="007A2C24" w:rsidP="00C56593">
      <w:pPr>
        <w:pStyle w:val="ListParagraph"/>
        <w:numPr>
          <w:ilvl w:val="0"/>
          <w:numId w:val="18"/>
        </w:numPr>
        <w:rPr>
          <w:sz w:val="20"/>
          <w:szCs w:val="20"/>
        </w:rPr>
      </w:pPr>
      <w:r w:rsidRPr="00563555">
        <w:rPr>
          <w:sz w:val="20"/>
          <w:szCs w:val="20"/>
        </w:rPr>
        <w:t>Make no misleading statements about investment transactions and other relevant matters.</w:t>
      </w:r>
    </w:p>
    <w:p w14:paraId="381C4FBC" w14:textId="77777777" w:rsidR="007A2C24" w:rsidRPr="00563555" w:rsidRDefault="007A2C24" w:rsidP="0026785C">
      <w:pPr>
        <w:rPr>
          <w:sz w:val="20"/>
          <w:szCs w:val="20"/>
        </w:rPr>
      </w:pPr>
    </w:p>
    <w:p w14:paraId="312BAB5A" w14:textId="1E629AEE" w:rsidR="007A2C24" w:rsidRPr="00563555" w:rsidRDefault="00515251" w:rsidP="00DF527B">
      <w:pPr>
        <w:pStyle w:val="Heading2"/>
      </w:pPr>
      <w:r w:rsidRPr="009616AA">
        <w:t>PRUDENT ANALYSIS – INFORMATION GATHERING</w:t>
      </w:r>
    </w:p>
    <w:p w14:paraId="73595D2E" w14:textId="1FA9F9A8" w:rsidR="007A2C24" w:rsidRPr="00563555" w:rsidRDefault="007A2C24" w:rsidP="0026785C">
      <w:pPr>
        <w:rPr>
          <w:sz w:val="20"/>
          <w:szCs w:val="20"/>
        </w:rPr>
      </w:pPr>
      <w:r w:rsidRPr="00563555">
        <w:rPr>
          <w:sz w:val="20"/>
          <w:szCs w:val="20"/>
        </w:rPr>
        <w:t xml:space="preserve">Our Firm </w:t>
      </w:r>
      <w:r w:rsidR="00515251" w:rsidRPr="00563555">
        <w:rPr>
          <w:sz w:val="20"/>
          <w:szCs w:val="20"/>
        </w:rPr>
        <w:t>will</w:t>
      </w:r>
      <w:r w:rsidRPr="00563555">
        <w:rPr>
          <w:sz w:val="20"/>
          <w:szCs w:val="20"/>
        </w:rPr>
        <w:t xml:space="preserve"> document </w:t>
      </w:r>
      <w:r w:rsidR="008C1709">
        <w:rPr>
          <w:sz w:val="20"/>
          <w:szCs w:val="20"/>
        </w:rPr>
        <w:t>a</w:t>
      </w:r>
      <w:r w:rsidRPr="00563555">
        <w:rPr>
          <w:sz w:val="20"/>
          <w:szCs w:val="20"/>
        </w:rPr>
        <w:t xml:space="preserve"> prudent analysis of why a rollover recommendation is in a retirement investor’s best interest. For recommendations to roll over assets from an employee benefit plan to an IRA, the relevant factors include but are not limited to:</w:t>
      </w:r>
    </w:p>
    <w:p w14:paraId="4658A479" w14:textId="77777777" w:rsidR="007A2C24" w:rsidRPr="00563555" w:rsidRDefault="007A2C24" w:rsidP="0026785C">
      <w:pPr>
        <w:rPr>
          <w:sz w:val="20"/>
          <w:szCs w:val="20"/>
        </w:rPr>
      </w:pPr>
    </w:p>
    <w:p w14:paraId="51AA8C0D" w14:textId="77777777" w:rsidR="007A2C24" w:rsidRPr="00563555" w:rsidRDefault="007A2C24" w:rsidP="005C4CED">
      <w:pPr>
        <w:pStyle w:val="ListParagraph"/>
        <w:numPr>
          <w:ilvl w:val="0"/>
          <w:numId w:val="19"/>
        </w:numPr>
        <w:rPr>
          <w:sz w:val="20"/>
          <w:szCs w:val="20"/>
        </w:rPr>
      </w:pPr>
      <w:r w:rsidRPr="00563555">
        <w:rPr>
          <w:sz w:val="20"/>
          <w:szCs w:val="20"/>
        </w:rPr>
        <w:t xml:space="preserve">the </w:t>
      </w:r>
      <w:r w:rsidRPr="00563555">
        <w:rPr>
          <w:i/>
          <w:iCs/>
          <w:sz w:val="20"/>
          <w:szCs w:val="20"/>
        </w:rPr>
        <w:t>alternatives to a rollover</w:t>
      </w:r>
      <w:r w:rsidRPr="00563555">
        <w:rPr>
          <w:sz w:val="20"/>
          <w:szCs w:val="20"/>
        </w:rPr>
        <w:t>, including leaving the money in the investor’s employer’s plan, if permitted;</w:t>
      </w:r>
    </w:p>
    <w:p w14:paraId="16CB9D40" w14:textId="77777777" w:rsidR="007A2C24" w:rsidRPr="00563555" w:rsidRDefault="007A2C24" w:rsidP="005C4CED">
      <w:pPr>
        <w:pStyle w:val="ListParagraph"/>
        <w:numPr>
          <w:ilvl w:val="0"/>
          <w:numId w:val="19"/>
        </w:numPr>
        <w:rPr>
          <w:sz w:val="20"/>
          <w:szCs w:val="20"/>
        </w:rPr>
      </w:pPr>
      <w:r w:rsidRPr="00563555">
        <w:rPr>
          <w:sz w:val="20"/>
          <w:szCs w:val="20"/>
        </w:rPr>
        <w:lastRenderedPageBreak/>
        <w:t xml:space="preserve">the </w:t>
      </w:r>
      <w:r w:rsidRPr="00563555">
        <w:rPr>
          <w:i/>
          <w:iCs/>
          <w:sz w:val="20"/>
          <w:szCs w:val="20"/>
        </w:rPr>
        <w:t>fees and expenses</w:t>
      </w:r>
      <w:r w:rsidRPr="00563555">
        <w:rPr>
          <w:sz w:val="20"/>
          <w:szCs w:val="20"/>
        </w:rPr>
        <w:t xml:space="preserve"> associated with both the plan and the IRA;</w:t>
      </w:r>
    </w:p>
    <w:p w14:paraId="1C5C6184" w14:textId="77777777" w:rsidR="007A2C24" w:rsidRPr="00563555" w:rsidRDefault="007A2C24" w:rsidP="005C4CED">
      <w:pPr>
        <w:pStyle w:val="ListParagraph"/>
        <w:numPr>
          <w:ilvl w:val="0"/>
          <w:numId w:val="19"/>
        </w:numPr>
        <w:rPr>
          <w:sz w:val="20"/>
          <w:szCs w:val="20"/>
        </w:rPr>
      </w:pPr>
      <w:r w:rsidRPr="00563555">
        <w:rPr>
          <w:sz w:val="20"/>
          <w:szCs w:val="20"/>
        </w:rPr>
        <w:t xml:space="preserve">whether the </w:t>
      </w:r>
      <w:r w:rsidRPr="00563555">
        <w:rPr>
          <w:i/>
          <w:iCs/>
          <w:sz w:val="20"/>
          <w:szCs w:val="20"/>
        </w:rPr>
        <w:t>employer pays</w:t>
      </w:r>
      <w:r w:rsidRPr="00563555">
        <w:rPr>
          <w:sz w:val="20"/>
          <w:szCs w:val="20"/>
        </w:rPr>
        <w:t xml:space="preserve"> for some or all of the plan’s administrative expenses; </w:t>
      </w:r>
    </w:p>
    <w:p w14:paraId="1F15C073" w14:textId="2464BABE" w:rsidR="007A2C24" w:rsidRPr="00563555" w:rsidRDefault="007A2C24" w:rsidP="005C4CED">
      <w:pPr>
        <w:pStyle w:val="ListParagraph"/>
        <w:numPr>
          <w:ilvl w:val="0"/>
          <w:numId w:val="19"/>
        </w:numPr>
        <w:rPr>
          <w:sz w:val="20"/>
          <w:szCs w:val="20"/>
        </w:rPr>
      </w:pPr>
      <w:bookmarkStart w:id="1" w:name="_Hlk82611626"/>
      <w:r w:rsidRPr="00563555">
        <w:rPr>
          <w:sz w:val="20"/>
          <w:szCs w:val="20"/>
        </w:rPr>
        <w:t xml:space="preserve">the </w:t>
      </w:r>
      <w:bookmarkEnd w:id="1"/>
      <w:r w:rsidRPr="00563555">
        <w:rPr>
          <w:sz w:val="20"/>
          <w:szCs w:val="20"/>
        </w:rPr>
        <w:t>different levels of services and investments available under the plan and the IRA;</w:t>
      </w:r>
    </w:p>
    <w:p w14:paraId="2084B7CC" w14:textId="77777777" w:rsidR="007A2C24" w:rsidRPr="00563555" w:rsidRDefault="007A2C24" w:rsidP="005C4CED">
      <w:pPr>
        <w:pStyle w:val="ListParagraph"/>
        <w:numPr>
          <w:ilvl w:val="0"/>
          <w:numId w:val="19"/>
        </w:numPr>
        <w:rPr>
          <w:sz w:val="20"/>
          <w:szCs w:val="20"/>
        </w:rPr>
      </w:pPr>
      <w:r w:rsidRPr="00563555">
        <w:rPr>
          <w:sz w:val="20"/>
          <w:szCs w:val="20"/>
        </w:rPr>
        <w:t>the ability to take penalty-free withdrawals;</w:t>
      </w:r>
    </w:p>
    <w:p w14:paraId="1E8BD38B" w14:textId="77777777" w:rsidR="007A2C24" w:rsidRPr="00563555" w:rsidRDefault="007A2C24" w:rsidP="005C4CED">
      <w:pPr>
        <w:pStyle w:val="ListParagraph"/>
        <w:numPr>
          <w:ilvl w:val="0"/>
          <w:numId w:val="19"/>
        </w:numPr>
        <w:rPr>
          <w:sz w:val="20"/>
          <w:szCs w:val="20"/>
        </w:rPr>
      </w:pPr>
      <w:r w:rsidRPr="00563555">
        <w:rPr>
          <w:sz w:val="20"/>
          <w:szCs w:val="20"/>
        </w:rPr>
        <w:t>the application of required minimum distributions;</w:t>
      </w:r>
    </w:p>
    <w:p w14:paraId="753F4B71" w14:textId="77777777" w:rsidR="007A2C24" w:rsidRPr="00563555" w:rsidRDefault="007A2C24" w:rsidP="005C4CED">
      <w:pPr>
        <w:pStyle w:val="ListParagraph"/>
        <w:numPr>
          <w:ilvl w:val="0"/>
          <w:numId w:val="19"/>
        </w:numPr>
        <w:rPr>
          <w:sz w:val="20"/>
          <w:szCs w:val="20"/>
        </w:rPr>
      </w:pPr>
      <w:r w:rsidRPr="00563555">
        <w:rPr>
          <w:sz w:val="20"/>
          <w:szCs w:val="20"/>
        </w:rPr>
        <w:t>the protection from creditors and legal judgements;</w:t>
      </w:r>
    </w:p>
    <w:p w14:paraId="183E26FD" w14:textId="77777777" w:rsidR="007A2C24" w:rsidRPr="00563555" w:rsidRDefault="007A2C24" w:rsidP="005C4CED">
      <w:pPr>
        <w:pStyle w:val="ListParagraph"/>
        <w:numPr>
          <w:ilvl w:val="0"/>
          <w:numId w:val="19"/>
        </w:numPr>
        <w:rPr>
          <w:sz w:val="20"/>
          <w:szCs w:val="20"/>
        </w:rPr>
      </w:pPr>
      <w:r w:rsidRPr="00563555">
        <w:rPr>
          <w:sz w:val="20"/>
          <w:szCs w:val="20"/>
        </w:rPr>
        <w:t xml:space="preserve">holdings of employer stock; and </w:t>
      </w:r>
    </w:p>
    <w:p w14:paraId="236A71FB" w14:textId="77777777" w:rsidR="007A2C24" w:rsidRPr="00563555" w:rsidRDefault="007A2C24" w:rsidP="005C4CED">
      <w:pPr>
        <w:pStyle w:val="ListParagraph"/>
        <w:numPr>
          <w:ilvl w:val="0"/>
          <w:numId w:val="19"/>
        </w:numPr>
        <w:rPr>
          <w:sz w:val="20"/>
          <w:szCs w:val="20"/>
        </w:rPr>
      </w:pPr>
      <w:r w:rsidRPr="00563555">
        <w:rPr>
          <w:sz w:val="20"/>
          <w:szCs w:val="20"/>
        </w:rPr>
        <w:t>any special features of the existing account.</w:t>
      </w:r>
    </w:p>
    <w:p w14:paraId="45A37B42" w14:textId="77777777" w:rsidR="007A2C24" w:rsidRPr="00563555" w:rsidRDefault="007A2C24" w:rsidP="0026785C">
      <w:pPr>
        <w:rPr>
          <w:sz w:val="20"/>
          <w:szCs w:val="20"/>
        </w:rPr>
      </w:pPr>
    </w:p>
    <w:p w14:paraId="4907FA27" w14:textId="2CDAA6B5" w:rsidR="00047BC6" w:rsidRPr="00563555" w:rsidRDefault="007A2C24" w:rsidP="0026785C">
      <w:pPr>
        <w:rPr>
          <w:sz w:val="20"/>
          <w:szCs w:val="20"/>
        </w:rPr>
      </w:pPr>
      <w:r w:rsidRPr="00563555">
        <w:rPr>
          <w:sz w:val="20"/>
          <w:szCs w:val="20"/>
        </w:rPr>
        <w:t xml:space="preserve">When considering the alternatives to rollover, our Firm generally should not focus solely on the retirement investor’s existing investment allocation, without any consideration of other investment options in the plan. </w:t>
      </w:r>
    </w:p>
    <w:p w14:paraId="3CEE6057" w14:textId="77777777" w:rsidR="00047BC6" w:rsidRPr="00563555" w:rsidRDefault="00047BC6" w:rsidP="0026785C">
      <w:pPr>
        <w:rPr>
          <w:sz w:val="20"/>
          <w:szCs w:val="20"/>
        </w:rPr>
      </w:pPr>
    </w:p>
    <w:p w14:paraId="2BBC5AFC" w14:textId="4C2184BF" w:rsidR="007A2C24" w:rsidRPr="00563555" w:rsidRDefault="007A2C24" w:rsidP="0026785C">
      <w:pPr>
        <w:rPr>
          <w:sz w:val="20"/>
          <w:szCs w:val="20"/>
        </w:rPr>
      </w:pPr>
      <w:r w:rsidRPr="00563555">
        <w:rPr>
          <w:sz w:val="20"/>
          <w:szCs w:val="20"/>
        </w:rPr>
        <w:t>For rollovers from another IRA or from a commission-based account to a fee-based arrangement, a prudent recommendation would include consideration and documentation of the services under the new arrangement. As relevant, the analysis should include consideration of factors such as the long-term impact of any increased costs; why the rollover is appropriate notwithstanding any additional costs; and the impact of economically significant investment features such as surrender schedules and index annuity cap and participation rates.</w:t>
      </w:r>
    </w:p>
    <w:p w14:paraId="73FB3E60" w14:textId="77777777" w:rsidR="007A2C24" w:rsidRPr="00563555" w:rsidRDefault="007A2C24" w:rsidP="0026785C">
      <w:pPr>
        <w:rPr>
          <w:sz w:val="20"/>
          <w:szCs w:val="20"/>
        </w:rPr>
      </w:pPr>
    </w:p>
    <w:p w14:paraId="6A04EC67" w14:textId="63ABBCFA" w:rsidR="00D60567" w:rsidRPr="00563555" w:rsidRDefault="007A2C24" w:rsidP="0026785C">
      <w:pPr>
        <w:rPr>
          <w:sz w:val="20"/>
          <w:szCs w:val="20"/>
        </w:rPr>
      </w:pPr>
      <w:r w:rsidRPr="00563555">
        <w:rPr>
          <w:sz w:val="20"/>
          <w:szCs w:val="20"/>
        </w:rPr>
        <w:t xml:space="preserve">To satisfy the documentation requirement for rollovers from an employee benefit plan to an IRA, will make diligent and prudent efforts to obtain information about the existing employee benefit plan and the participant’s interests in it. In general, such information should be readily available </w:t>
      </w:r>
      <w:r w:rsidR="00D60567" w:rsidRPr="00563555">
        <w:rPr>
          <w:sz w:val="20"/>
          <w:szCs w:val="20"/>
        </w:rPr>
        <w:t>because of</w:t>
      </w:r>
      <w:r w:rsidRPr="00563555">
        <w:rPr>
          <w:sz w:val="20"/>
          <w:szCs w:val="20"/>
        </w:rPr>
        <w:t xml:space="preserve"> Department regulations mandating disclosure of plan-related information to the plan's participants. If the retirement investor won’t provide the information, even after a full explanation of its significance, and the information is not otherwise readily available, our Firm will make a reasonable estimation of expenses, asset values, risk, and returns based on publicly available information. </w:t>
      </w:r>
    </w:p>
    <w:p w14:paraId="05B877E5" w14:textId="77777777" w:rsidR="00D60567" w:rsidRPr="00563555" w:rsidRDefault="00D60567" w:rsidP="0026785C">
      <w:pPr>
        <w:rPr>
          <w:sz w:val="20"/>
          <w:szCs w:val="20"/>
        </w:rPr>
      </w:pPr>
    </w:p>
    <w:p w14:paraId="0894D7FF" w14:textId="53FCE929" w:rsidR="007A2C24" w:rsidRPr="00563555" w:rsidRDefault="008C1709" w:rsidP="0026785C">
      <w:pPr>
        <w:rPr>
          <w:sz w:val="20"/>
          <w:szCs w:val="20"/>
        </w:rPr>
      </w:pPr>
      <w:r>
        <w:rPr>
          <w:sz w:val="20"/>
          <w:szCs w:val="20"/>
        </w:rPr>
        <w:t>Additionally, our</w:t>
      </w:r>
      <w:r w:rsidR="007A2C24" w:rsidRPr="00563555">
        <w:rPr>
          <w:sz w:val="20"/>
          <w:szCs w:val="20"/>
        </w:rPr>
        <w:t xml:space="preserve"> Firm will document and explain the assumptions used and their limitations. In such cases, our Firm could rely on alternative data sources, such as the most recent Form 5500 or reliable benchmarks on typical fees and expenses for the type and size of plan at issue.</w:t>
      </w:r>
    </w:p>
    <w:p w14:paraId="0549BF2F" w14:textId="77777777" w:rsidR="0007402F" w:rsidRPr="00563555" w:rsidRDefault="0007402F" w:rsidP="0026785C">
      <w:pPr>
        <w:rPr>
          <w:sz w:val="20"/>
          <w:szCs w:val="20"/>
        </w:rPr>
      </w:pPr>
    </w:p>
    <w:p w14:paraId="160BE261" w14:textId="08F2C9DD" w:rsidR="007A2C24" w:rsidRPr="00563555" w:rsidRDefault="00A34B84" w:rsidP="00DF527B">
      <w:pPr>
        <w:pStyle w:val="Heading2"/>
      </w:pPr>
      <w:r w:rsidRPr="009616AA">
        <w:t>FIDUCIARY ACKNOWLEDGEMENT</w:t>
      </w:r>
    </w:p>
    <w:p w14:paraId="343A2419" w14:textId="7AEDE81F" w:rsidR="007A2C24" w:rsidRPr="00563555" w:rsidRDefault="007A2C24" w:rsidP="0026785C">
      <w:pPr>
        <w:rPr>
          <w:sz w:val="20"/>
          <w:szCs w:val="20"/>
        </w:rPr>
      </w:pPr>
      <w:r w:rsidRPr="00563555">
        <w:rPr>
          <w:sz w:val="20"/>
          <w:szCs w:val="20"/>
        </w:rPr>
        <w:t>Our Firm will satisfy the fiduciary acknowledgment requirement by requiring the following:</w:t>
      </w:r>
    </w:p>
    <w:p w14:paraId="4432CB45" w14:textId="77777777" w:rsidR="008C1709" w:rsidRDefault="008C1709" w:rsidP="0026785C">
      <w:pPr>
        <w:rPr>
          <w:sz w:val="20"/>
          <w:szCs w:val="20"/>
        </w:rPr>
      </w:pPr>
    </w:p>
    <w:p w14:paraId="3587AD39" w14:textId="2889A95B" w:rsidR="007A2C24" w:rsidRPr="00563555" w:rsidRDefault="007A2C24" w:rsidP="0026785C">
      <w:pPr>
        <w:rPr>
          <w:sz w:val="20"/>
          <w:szCs w:val="20"/>
        </w:rPr>
      </w:pPr>
      <w:r w:rsidRPr="00563555">
        <w:rPr>
          <w:sz w:val="20"/>
          <w:szCs w:val="20"/>
        </w:rPr>
        <w:t>When we provide investment advice to you regarding your retirement plan account or individual retirement account, we are fiduciaries within the meaning of Title I of the Employee Retirement Income Security Act and/or the Internal Revenue Code, as applicable, which are laws governing retirement accounts. The way we make money creates some conflicts with your interests, so we operate under a special rule that requires us to act in your best interest and not put our interest ahead of yours.</w:t>
      </w:r>
    </w:p>
    <w:p w14:paraId="7C285742" w14:textId="77777777" w:rsidR="00E02EFB" w:rsidRPr="00563555" w:rsidRDefault="00E02EFB" w:rsidP="0026785C">
      <w:pPr>
        <w:rPr>
          <w:sz w:val="20"/>
          <w:szCs w:val="20"/>
        </w:rPr>
      </w:pPr>
    </w:p>
    <w:p w14:paraId="04A13D06" w14:textId="4D565339" w:rsidR="007A2C24" w:rsidRPr="00563555" w:rsidRDefault="007A2C24" w:rsidP="0026785C">
      <w:pPr>
        <w:rPr>
          <w:sz w:val="20"/>
          <w:szCs w:val="20"/>
        </w:rPr>
      </w:pPr>
      <w:r w:rsidRPr="00563555">
        <w:rPr>
          <w:sz w:val="20"/>
          <w:szCs w:val="20"/>
        </w:rPr>
        <w:t>Under this special rule’s provisions, we must:</w:t>
      </w:r>
    </w:p>
    <w:p w14:paraId="6417CD7A" w14:textId="77777777" w:rsidR="008C1709" w:rsidRPr="00903CFA" w:rsidRDefault="008C1709" w:rsidP="00903CFA">
      <w:pPr>
        <w:pStyle w:val="ListParagraph"/>
        <w:ind w:left="720"/>
      </w:pPr>
    </w:p>
    <w:p w14:paraId="24F5671E" w14:textId="39487782" w:rsidR="007A2C24" w:rsidRPr="00903CFA" w:rsidRDefault="007A2C24" w:rsidP="00903CFA">
      <w:pPr>
        <w:pStyle w:val="ListParagraph"/>
        <w:numPr>
          <w:ilvl w:val="0"/>
          <w:numId w:val="25"/>
        </w:numPr>
        <w:ind w:left="1440"/>
        <w:rPr>
          <w:sz w:val="20"/>
          <w:szCs w:val="21"/>
        </w:rPr>
      </w:pPr>
      <w:r w:rsidRPr="00903CFA">
        <w:rPr>
          <w:sz w:val="20"/>
          <w:szCs w:val="21"/>
        </w:rPr>
        <w:t>Meet a professional standard of care when making investment recommendations (give</w:t>
      </w:r>
      <w:r w:rsidR="007060D8" w:rsidRPr="00903CFA">
        <w:rPr>
          <w:sz w:val="20"/>
          <w:szCs w:val="21"/>
        </w:rPr>
        <w:t xml:space="preserve"> </w:t>
      </w:r>
      <w:r w:rsidRPr="00903CFA">
        <w:rPr>
          <w:sz w:val="20"/>
          <w:szCs w:val="21"/>
        </w:rPr>
        <w:t>prudent advice);</w:t>
      </w:r>
    </w:p>
    <w:p w14:paraId="3FED3F72" w14:textId="54537B15" w:rsidR="00E15102" w:rsidRPr="00903CFA" w:rsidRDefault="007A2C24" w:rsidP="00903CFA">
      <w:pPr>
        <w:pStyle w:val="ListParagraph"/>
        <w:numPr>
          <w:ilvl w:val="0"/>
          <w:numId w:val="25"/>
        </w:numPr>
        <w:ind w:left="1440"/>
        <w:rPr>
          <w:sz w:val="20"/>
          <w:szCs w:val="21"/>
        </w:rPr>
      </w:pPr>
      <w:r w:rsidRPr="00903CFA">
        <w:rPr>
          <w:sz w:val="20"/>
          <w:szCs w:val="21"/>
        </w:rPr>
        <w:t>Never put our financial interests ahead of yours when making recommendations (give</w:t>
      </w:r>
      <w:r w:rsidR="007060D8" w:rsidRPr="00903CFA">
        <w:rPr>
          <w:sz w:val="20"/>
          <w:szCs w:val="21"/>
        </w:rPr>
        <w:t xml:space="preserve"> </w:t>
      </w:r>
      <w:r w:rsidRPr="00903CFA">
        <w:rPr>
          <w:sz w:val="20"/>
          <w:szCs w:val="21"/>
        </w:rPr>
        <w:t>loyal advice);</w:t>
      </w:r>
    </w:p>
    <w:p w14:paraId="25C53C0A" w14:textId="77777777" w:rsidR="007A2C24" w:rsidRPr="00903CFA" w:rsidRDefault="007A2C24" w:rsidP="00903CFA">
      <w:pPr>
        <w:pStyle w:val="ListParagraph"/>
        <w:numPr>
          <w:ilvl w:val="0"/>
          <w:numId w:val="25"/>
        </w:numPr>
        <w:ind w:left="1440"/>
        <w:rPr>
          <w:sz w:val="20"/>
          <w:szCs w:val="21"/>
        </w:rPr>
      </w:pPr>
      <w:r w:rsidRPr="00903CFA">
        <w:rPr>
          <w:sz w:val="20"/>
          <w:szCs w:val="21"/>
        </w:rPr>
        <w:t>Avoid misleading statements about conflicts of interest, fees, and investments;</w:t>
      </w:r>
    </w:p>
    <w:p w14:paraId="1A9D15D0" w14:textId="77777777" w:rsidR="007A2C24" w:rsidRPr="00903CFA" w:rsidRDefault="007A2C24" w:rsidP="00903CFA">
      <w:pPr>
        <w:pStyle w:val="ListParagraph"/>
        <w:numPr>
          <w:ilvl w:val="0"/>
          <w:numId w:val="25"/>
        </w:numPr>
        <w:ind w:left="1440"/>
        <w:rPr>
          <w:sz w:val="20"/>
          <w:szCs w:val="21"/>
        </w:rPr>
      </w:pPr>
      <w:r w:rsidRPr="00903CFA">
        <w:rPr>
          <w:sz w:val="20"/>
          <w:szCs w:val="21"/>
        </w:rPr>
        <w:t>Follow policies and procedures designed to ensure that we give advice that is in your best interest;</w:t>
      </w:r>
    </w:p>
    <w:p w14:paraId="175A9FA9" w14:textId="77777777" w:rsidR="007A2C24" w:rsidRPr="00903CFA" w:rsidRDefault="007A2C24" w:rsidP="00903CFA">
      <w:pPr>
        <w:pStyle w:val="ListParagraph"/>
        <w:numPr>
          <w:ilvl w:val="0"/>
          <w:numId w:val="25"/>
        </w:numPr>
        <w:ind w:left="1440"/>
        <w:rPr>
          <w:sz w:val="20"/>
          <w:szCs w:val="21"/>
        </w:rPr>
      </w:pPr>
      <w:r w:rsidRPr="00903CFA">
        <w:rPr>
          <w:sz w:val="20"/>
          <w:szCs w:val="21"/>
        </w:rPr>
        <w:t>Charge no more than is reasonable for our services; and</w:t>
      </w:r>
    </w:p>
    <w:p w14:paraId="0AABDABC" w14:textId="77777777" w:rsidR="007A2C24" w:rsidRPr="00903CFA" w:rsidRDefault="007A2C24" w:rsidP="00903CFA">
      <w:pPr>
        <w:pStyle w:val="ListParagraph"/>
        <w:numPr>
          <w:ilvl w:val="0"/>
          <w:numId w:val="25"/>
        </w:numPr>
        <w:ind w:left="1440"/>
        <w:rPr>
          <w:sz w:val="20"/>
          <w:szCs w:val="21"/>
        </w:rPr>
      </w:pPr>
      <w:r w:rsidRPr="00903CFA">
        <w:rPr>
          <w:sz w:val="20"/>
          <w:szCs w:val="21"/>
        </w:rPr>
        <w:t>Give you basic information about conflicts of interest.</w:t>
      </w:r>
    </w:p>
    <w:p w14:paraId="7DF30495" w14:textId="77777777" w:rsidR="007A2C24" w:rsidRPr="00563555" w:rsidRDefault="007A2C24" w:rsidP="0026785C">
      <w:pPr>
        <w:rPr>
          <w:sz w:val="20"/>
          <w:szCs w:val="20"/>
        </w:rPr>
      </w:pPr>
    </w:p>
    <w:p w14:paraId="6F03C15C" w14:textId="1EA40940" w:rsidR="007A2C24" w:rsidRPr="00563555" w:rsidRDefault="005F1092" w:rsidP="00DF527B">
      <w:pPr>
        <w:pStyle w:val="Heading2"/>
      </w:pPr>
      <w:r w:rsidRPr="009616AA">
        <w:t>CONFLICTS OF INTEREST</w:t>
      </w:r>
    </w:p>
    <w:p w14:paraId="3F0BDFC0" w14:textId="22C3ACAB" w:rsidR="001C2F12" w:rsidRPr="00563555" w:rsidRDefault="001C2F12" w:rsidP="0026785C">
      <w:pPr>
        <w:rPr>
          <w:sz w:val="20"/>
          <w:szCs w:val="20"/>
        </w:rPr>
      </w:pPr>
      <w:r w:rsidRPr="00563555">
        <w:rPr>
          <w:sz w:val="20"/>
          <w:szCs w:val="20"/>
        </w:rPr>
        <w:t xml:space="preserve">Since our Firm is relying on PTE 2020-02, our Firm will identify and carefully focus on the conflicts of interest associated with our business model and practice that create incentives for our Firm to place our interests ahead of the retirement investor’s interest. Our policies and procedures are designed to, among other things, protect retirement investors from recommendations that are not in the investor’s best interest, or to allocate excessive amounts to illiquid or risky investments. Our Firm does not recommend nor use any investment products where our IARs are compensated differently, nor is there an incentive for an IAR to meet any compensation thresholds that would pose as a conflict to retirement investors.    </w:t>
      </w:r>
    </w:p>
    <w:p w14:paraId="629327CD" w14:textId="77777777" w:rsidR="007A2C24" w:rsidRPr="00563555" w:rsidRDefault="007A2C24" w:rsidP="0026785C">
      <w:pPr>
        <w:rPr>
          <w:sz w:val="20"/>
          <w:szCs w:val="20"/>
        </w:rPr>
      </w:pPr>
    </w:p>
    <w:p w14:paraId="426AD7E9" w14:textId="18B9001F" w:rsidR="007A2C24" w:rsidRPr="00563555" w:rsidRDefault="00975BAD" w:rsidP="00DF527B">
      <w:pPr>
        <w:pStyle w:val="Heading2"/>
      </w:pPr>
      <w:r w:rsidRPr="009616AA">
        <w:t>SUPERVISORY OVERSIGHT</w:t>
      </w:r>
    </w:p>
    <w:p w14:paraId="394D6392" w14:textId="1F4CC623" w:rsidR="005A23B9" w:rsidRPr="00563555" w:rsidRDefault="007A2C24" w:rsidP="0026785C">
      <w:pPr>
        <w:rPr>
          <w:sz w:val="20"/>
          <w:szCs w:val="20"/>
        </w:rPr>
      </w:pPr>
      <w:r w:rsidRPr="00563555">
        <w:rPr>
          <w:sz w:val="20"/>
          <w:szCs w:val="20"/>
        </w:rPr>
        <w:lastRenderedPageBreak/>
        <w:t>Our Firm will include supervisory oversight of investment recommendations</w:t>
      </w:r>
      <w:r w:rsidR="003A2B09" w:rsidRPr="00563555">
        <w:rPr>
          <w:sz w:val="20"/>
          <w:szCs w:val="20"/>
        </w:rPr>
        <w:t xml:space="preserve"> when monitoring the specific documentation of rollovers on at least a quarterly basis.</w:t>
      </w:r>
    </w:p>
    <w:p w14:paraId="5D3DF65D" w14:textId="77777777" w:rsidR="005A23B9" w:rsidRPr="00563555" w:rsidRDefault="005A23B9" w:rsidP="0026785C">
      <w:pPr>
        <w:rPr>
          <w:sz w:val="20"/>
          <w:szCs w:val="20"/>
        </w:rPr>
      </w:pPr>
    </w:p>
    <w:p w14:paraId="0BA8F7CC" w14:textId="0D328B79" w:rsidR="003025B7" w:rsidRDefault="003025B7" w:rsidP="0026785C">
      <w:pPr>
        <w:rPr>
          <w:sz w:val="20"/>
          <w:szCs w:val="20"/>
        </w:rPr>
      </w:pPr>
      <w:r w:rsidRPr="00563555">
        <w:rPr>
          <w:sz w:val="20"/>
          <w:szCs w:val="20"/>
        </w:rPr>
        <w:t xml:space="preserve">Our Firm will provide the following monitoring of investment professional recommendations at or near compensation thresholds, recommendations at key liquidity events for investors (e.g., rollovers), and recommendations of investments that are particularly prone to conflicts of interest as outlined in our Code of Ethics.  </w:t>
      </w:r>
    </w:p>
    <w:p w14:paraId="698561DD" w14:textId="77777777" w:rsidR="00E45A42" w:rsidRDefault="00E45A42" w:rsidP="0026785C">
      <w:pPr>
        <w:rPr>
          <w:sz w:val="20"/>
          <w:szCs w:val="20"/>
        </w:rPr>
      </w:pPr>
    </w:p>
    <w:p w14:paraId="0B9075DB" w14:textId="26D95495" w:rsidR="00ED3327" w:rsidRPr="00ED3327" w:rsidRDefault="00ED3327" w:rsidP="00ED3327">
      <w:pPr>
        <w:pStyle w:val="Heading2"/>
      </w:pPr>
      <w:r>
        <w:t xml:space="preserve">VIOLATIONS – </w:t>
      </w:r>
      <w:r w:rsidR="00BF7783">
        <w:t>CORRECTIVE ACTION</w:t>
      </w:r>
    </w:p>
    <w:p w14:paraId="044BC05B" w14:textId="65A201B5" w:rsidR="00E45A42" w:rsidRDefault="00754094" w:rsidP="0026785C">
      <w:pPr>
        <w:rPr>
          <w:sz w:val="20"/>
          <w:szCs w:val="20"/>
        </w:rPr>
      </w:pPr>
      <w:r w:rsidRPr="00BB2848">
        <w:rPr>
          <w:sz w:val="20"/>
          <w:szCs w:val="20"/>
        </w:rPr>
        <w:t xml:space="preserve">If the CCO determines </w:t>
      </w:r>
      <w:r w:rsidR="005F0C7A" w:rsidRPr="00BB2848">
        <w:rPr>
          <w:sz w:val="20"/>
          <w:szCs w:val="20"/>
        </w:rPr>
        <w:t xml:space="preserve">a rollover </w:t>
      </w:r>
      <w:r w:rsidR="008059BF" w:rsidRPr="00BB2848">
        <w:rPr>
          <w:sz w:val="20"/>
          <w:szCs w:val="20"/>
        </w:rPr>
        <w:t xml:space="preserve">was initiated that was </w:t>
      </w:r>
      <w:r w:rsidR="003C4C84" w:rsidRPr="00BB2848">
        <w:rPr>
          <w:sz w:val="20"/>
          <w:szCs w:val="20"/>
        </w:rPr>
        <w:t xml:space="preserve">not in the best interest of the client, the </w:t>
      </w:r>
      <w:r w:rsidR="00F35F36" w:rsidRPr="00BB2848">
        <w:rPr>
          <w:sz w:val="20"/>
          <w:szCs w:val="20"/>
        </w:rPr>
        <w:t>F</w:t>
      </w:r>
      <w:r w:rsidR="003C4C84" w:rsidRPr="00BB2848">
        <w:rPr>
          <w:sz w:val="20"/>
          <w:szCs w:val="20"/>
        </w:rPr>
        <w:t xml:space="preserve">irm will work with the client to </w:t>
      </w:r>
      <w:r w:rsidR="00A5313C" w:rsidRPr="00BB2848">
        <w:rPr>
          <w:sz w:val="20"/>
          <w:szCs w:val="20"/>
        </w:rPr>
        <w:t xml:space="preserve">correct the action within 90 days of when the rollover occurred or </w:t>
      </w:r>
      <w:r w:rsidR="009F2AF5" w:rsidRPr="00BB2848">
        <w:rPr>
          <w:sz w:val="20"/>
          <w:szCs w:val="20"/>
        </w:rPr>
        <w:t xml:space="preserve">was found to be </w:t>
      </w:r>
      <w:r w:rsidR="006D159E" w:rsidRPr="00BB2848">
        <w:rPr>
          <w:sz w:val="20"/>
          <w:szCs w:val="20"/>
        </w:rPr>
        <w:t xml:space="preserve">inconsistent with the Policy.  </w:t>
      </w:r>
    </w:p>
    <w:p w14:paraId="75C44BA8" w14:textId="77777777" w:rsidR="00ED3FBF" w:rsidRDefault="00ED3FBF" w:rsidP="0026785C">
      <w:pPr>
        <w:rPr>
          <w:sz w:val="20"/>
          <w:szCs w:val="20"/>
        </w:rPr>
      </w:pPr>
    </w:p>
    <w:p w14:paraId="0999D1D7" w14:textId="77777777" w:rsidR="00ED3FBF" w:rsidRPr="00ED3FBF" w:rsidRDefault="00ED3FBF" w:rsidP="00ED3FBF">
      <w:pPr>
        <w:numPr>
          <w:ilvl w:val="0"/>
          <w:numId w:val="26"/>
        </w:numPr>
        <w:rPr>
          <w:sz w:val="20"/>
          <w:szCs w:val="20"/>
        </w:rPr>
      </w:pPr>
      <w:r w:rsidRPr="00ED3FBF">
        <w:rPr>
          <w:sz w:val="20"/>
          <w:szCs w:val="20"/>
        </w:rPr>
        <w:t>The PTE allows for self-correction of violations of its conditions if the following conditions are met:</w:t>
      </w:r>
    </w:p>
    <w:p w14:paraId="6D13D150" w14:textId="34A09ADE" w:rsidR="00ED3FBF" w:rsidRPr="00ED3FBF" w:rsidRDefault="00ED3FBF" w:rsidP="00ED3FBF">
      <w:pPr>
        <w:numPr>
          <w:ilvl w:val="1"/>
          <w:numId w:val="26"/>
        </w:numPr>
        <w:rPr>
          <w:sz w:val="20"/>
          <w:szCs w:val="20"/>
        </w:rPr>
      </w:pPr>
      <w:r w:rsidRPr="00ED3FBF">
        <w:rPr>
          <w:sz w:val="20"/>
          <w:szCs w:val="20"/>
        </w:rPr>
        <w:t xml:space="preserve">The violation didn’t result in investment </w:t>
      </w:r>
      <w:r w:rsidR="00ED3327" w:rsidRPr="00ED3FBF">
        <w:rPr>
          <w:sz w:val="20"/>
          <w:szCs w:val="20"/>
        </w:rPr>
        <w:t>losses,</w:t>
      </w:r>
      <w:r w:rsidRPr="00ED3FBF">
        <w:rPr>
          <w:sz w:val="20"/>
          <w:szCs w:val="20"/>
        </w:rPr>
        <w:t xml:space="preserve"> or the investor was made whole.</w:t>
      </w:r>
    </w:p>
    <w:p w14:paraId="2C51CA59" w14:textId="77777777" w:rsidR="00ED3FBF" w:rsidRPr="00ED3FBF" w:rsidRDefault="00ED3FBF" w:rsidP="00ED3FBF">
      <w:pPr>
        <w:numPr>
          <w:ilvl w:val="1"/>
          <w:numId w:val="26"/>
        </w:numPr>
        <w:rPr>
          <w:sz w:val="20"/>
          <w:szCs w:val="20"/>
        </w:rPr>
      </w:pPr>
      <w:r w:rsidRPr="00ED3FBF">
        <w:rPr>
          <w:sz w:val="20"/>
          <w:szCs w:val="20"/>
        </w:rPr>
        <w:t>The violation is corrected, and the DOL is notified of the violation and correction within 30 days after the correction.</w:t>
      </w:r>
    </w:p>
    <w:p w14:paraId="58CC7B8B" w14:textId="77777777" w:rsidR="00ED3FBF" w:rsidRPr="00ED3FBF" w:rsidRDefault="00ED3FBF" w:rsidP="00ED3FBF">
      <w:pPr>
        <w:numPr>
          <w:ilvl w:val="1"/>
          <w:numId w:val="26"/>
        </w:numPr>
        <w:rPr>
          <w:sz w:val="20"/>
          <w:szCs w:val="20"/>
        </w:rPr>
      </w:pPr>
      <w:r w:rsidRPr="00ED3FBF">
        <w:rPr>
          <w:sz w:val="20"/>
          <w:szCs w:val="20"/>
        </w:rPr>
        <w:t>The correction occurs no later than 90 days after the financial institution knew or reasonably should have known of the violation.</w:t>
      </w:r>
    </w:p>
    <w:p w14:paraId="7773EA52" w14:textId="6DAB92A6" w:rsidR="00ED3FBF" w:rsidRDefault="00ED3FBF" w:rsidP="0026785C">
      <w:pPr>
        <w:numPr>
          <w:ilvl w:val="1"/>
          <w:numId w:val="26"/>
        </w:numPr>
        <w:rPr>
          <w:sz w:val="20"/>
          <w:szCs w:val="20"/>
        </w:rPr>
      </w:pPr>
      <w:r w:rsidRPr="00ED3FBF">
        <w:rPr>
          <w:sz w:val="20"/>
          <w:szCs w:val="20"/>
        </w:rPr>
        <w:t>The violation and correction are disclosed in a timely manner and described in the Financial Institution’s retrospective review.</w:t>
      </w:r>
    </w:p>
    <w:p w14:paraId="3B6BED5D" w14:textId="77777777" w:rsidR="00814694" w:rsidRPr="00ED3327" w:rsidRDefault="00814694" w:rsidP="00814694">
      <w:pPr>
        <w:ind w:left="1440"/>
        <w:rPr>
          <w:sz w:val="20"/>
          <w:szCs w:val="20"/>
        </w:rPr>
      </w:pPr>
    </w:p>
    <w:p w14:paraId="1F62BFDB" w14:textId="13286D13" w:rsidR="007A2C24" w:rsidRDefault="00BF7783" w:rsidP="0026785C">
      <w:pPr>
        <w:rPr>
          <w:sz w:val="20"/>
          <w:szCs w:val="20"/>
        </w:rPr>
      </w:pPr>
      <w:r w:rsidRPr="00BB2848">
        <w:rPr>
          <w:sz w:val="20"/>
          <w:szCs w:val="20"/>
        </w:rPr>
        <w:t>Documentation on how the situation was corrected must be maintained in the Compliance file and documented in the Annual Retrospective Review.</w:t>
      </w:r>
      <w:r>
        <w:rPr>
          <w:sz w:val="20"/>
          <w:szCs w:val="20"/>
        </w:rPr>
        <w:t xml:space="preserve"> Documentation on how the situation was remediated.</w:t>
      </w:r>
    </w:p>
    <w:p w14:paraId="765AD96A" w14:textId="77777777" w:rsidR="00BF7783" w:rsidRPr="00563555" w:rsidRDefault="00BF7783" w:rsidP="0026785C">
      <w:pPr>
        <w:rPr>
          <w:sz w:val="20"/>
          <w:szCs w:val="20"/>
        </w:rPr>
      </w:pPr>
    </w:p>
    <w:p w14:paraId="2A66FBE4" w14:textId="230A71BF" w:rsidR="007A2C24" w:rsidRPr="00563555" w:rsidRDefault="00975BAD" w:rsidP="00DF527B">
      <w:pPr>
        <w:pStyle w:val="Heading2"/>
      </w:pPr>
      <w:r w:rsidRPr="009616AA">
        <w:t>ANNUAL RETROSPECTIVE REVIEW</w:t>
      </w:r>
    </w:p>
    <w:p w14:paraId="0D8EEA0F" w14:textId="3F6DC21F" w:rsidR="007A2C24" w:rsidRPr="00563555" w:rsidRDefault="007A2C24" w:rsidP="0026785C">
      <w:pPr>
        <w:rPr>
          <w:sz w:val="20"/>
          <w:szCs w:val="20"/>
        </w:rPr>
      </w:pPr>
      <w:r w:rsidRPr="00563555">
        <w:rPr>
          <w:sz w:val="20"/>
          <w:szCs w:val="20"/>
        </w:rPr>
        <w:t>Our Firm</w:t>
      </w:r>
      <w:r w:rsidR="00221D17" w:rsidRPr="00563555">
        <w:rPr>
          <w:sz w:val="20"/>
          <w:szCs w:val="20"/>
        </w:rPr>
        <w:t xml:space="preserve">’s CCO </w:t>
      </w:r>
      <w:r w:rsidRPr="00563555">
        <w:rPr>
          <w:sz w:val="20"/>
          <w:szCs w:val="20"/>
        </w:rPr>
        <w:t>will conduct an annual retrospective review that is reasonably designed to</w:t>
      </w:r>
      <w:r w:rsidR="00AA7C0B" w:rsidRPr="00563555">
        <w:rPr>
          <w:sz w:val="20"/>
          <w:szCs w:val="20"/>
        </w:rPr>
        <w:t xml:space="preserve"> </w:t>
      </w:r>
      <w:r w:rsidRPr="00563555">
        <w:rPr>
          <w:sz w:val="20"/>
          <w:szCs w:val="20"/>
        </w:rPr>
        <w:t>assist in detecting and preventing violations of, and achieving compliance with, the</w:t>
      </w:r>
      <w:r w:rsidR="00874CD6" w:rsidRPr="00563555">
        <w:rPr>
          <w:sz w:val="20"/>
          <w:szCs w:val="20"/>
        </w:rPr>
        <w:t xml:space="preserve"> </w:t>
      </w:r>
      <w:r w:rsidRPr="00563555">
        <w:rPr>
          <w:sz w:val="20"/>
          <w:szCs w:val="20"/>
        </w:rPr>
        <w:t>Impartial Conduct Standards and our policies and procedures. The methodology and results of the retrospective review will be a written report</w:t>
      </w:r>
      <w:r w:rsidR="00B11344" w:rsidRPr="00563555">
        <w:rPr>
          <w:sz w:val="20"/>
          <w:szCs w:val="20"/>
        </w:rPr>
        <w:t xml:space="preserve"> and available to </w:t>
      </w:r>
      <w:r w:rsidRPr="00563555">
        <w:rPr>
          <w:sz w:val="20"/>
          <w:szCs w:val="20"/>
        </w:rPr>
        <w:t>our Firm’s senior executive officers</w:t>
      </w:r>
      <w:r w:rsidR="00B11344" w:rsidRPr="00563555">
        <w:rPr>
          <w:sz w:val="20"/>
          <w:szCs w:val="20"/>
        </w:rPr>
        <w:t xml:space="preserve">. </w:t>
      </w:r>
      <w:r w:rsidRPr="00563555">
        <w:rPr>
          <w:sz w:val="20"/>
          <w:szCs w:val="20"/>
        </w:rPr>
        <w:t xml:space="preserve"> </w:t>
      </w:r>
    </w:p>
    <w:p w14:paraId="3EB5FDC4" w14:textId="77777777" w:rsidR="007A2C24" w:rsidRPr="00563555" w:rsidRDefault="007A2C24" w:rsidP="0026785C">
      <w:pPr>
        <w:rPr>
          <w:sz w:val="20"/>
          <w:szCs w:val="20"/>
        </w:rPr>
      </w:pPr>
    </w:p>
    <w:p w14:paraId="37982428" w14:textId="5AEA22EF" w:rsidR="007A2C24" w:rsidRPr="00563555" w:rsidRDefault="00A65200" w:rsidP="0026785C">
      <w:pPr>
        <w:rPr>
          <w:sz w:val="20"/>
          <w:szCs w:val="20"/>
        </w:rPr>
      </w:pPr>
      <w:r w:rsidRPr="00563555">
        <w:rPr>
          <w:sz w:val="20"/>
          <w:szCs w:val="20"/>
        </w:rPr>
        <w:t xml:space="preserve">Our procedures include that </w:t>
      </w:r>
      <w:r w:rsidR="00153924" w:rsidRPr="00563555">
        <w:rPr>
          <w:sz w:val="20"/>
          <w:szCs w:val="20"/>
        </w:rPr>
        <w:t xml:space="preserve">the Firm’s CCO </w:t>
      </w:r>
      <w:r w:rsidR="00EF058E" w:rsidRPr="00563555">
        <w:rPr>
          <w:sz w:val="20"/>
          <w:szCs w:val="20"/>
        </w:rPr>
        <w:t xml:space="preserve">will draft </w:t>
      </w:r>
      <w:r w:rsidR="007A2C24" w:rsidRPr="00563555">
        <w:rPr>
          <w:sz w:val="20"/>
          <w:szCs w:val="20"/>
        </w:rPr>
        <w:t>the report</w:t>
      </w:r>
      <w:r w:rsidR="007342B2" w:rsidRPr="00563555">
        <w:rPr>
          <w:sz w:val="20"/>
          <w:szCs w:val="20"/>
        </w:rPr>
        <w:t xml:space="preserve"> and</w:t>
      </w:r>
      <w:r w:rsidR="00AB6CC5" w:rsidRPr="00563555">
        <w:rPr>
          <w:sz w:val="20"/>
          <w:szCs w:val="20"/>
        </w:rPr>
        <w:t xml:space="preserve"> </w:t>
      </w:r>
      <w:r w:rsidRPr="00563555">
        <w:rPr>
          <w:sz w:val="20"/>
          <w:szCs w:val="20"/>
        </w:rPr>
        <w:t xml:space="preserve">review that </w:t>
      </w:r>
      <w:r w:rsidR="007A2C24" w:rsidRPr="00563555">
        <w:rPr>
          <w:sz w:val="20"/>
          <w:szCs w:val="20"/>
        </w:rPr>
        <w:t>policies and procedures are in place to achieve compliance with conditions of the exemption</w:t>
      </w:r>
      <w:r w:rsidR="007342B2" w:rsidRPr="00563555">
        <w:rPr>
          <w:sz w:val="20"/>
          <w:szCs w:val="20"/>
        </w:rPr>
        <w:t xml:space="preserve">.  The CCO </w:t>
      </w:r>
      <w:r w:rsidR="00153924" w:rsidRPr="00563555">
        <w:rPr>
          <w:sz w:val="20"/>
          <w:szCs w:val="20"/>
        </w:rPr>
        <w:t xml:space="preserve">will ensure there is </w:t>
      </w:r>
      <w:r w:rsidR="007A2C24" w:rsidRPr="00563555">
        <w:rPr>
          <w:sz w:val="20"/>
          <w:szCs w:val="20"/>
        </w:rPr>
        <w:t>a prudent process is in place to modify such policies and procedures as business, regulatory, and legislative changes and events dictate, and to test their effectiveness on a periodic basis to ensure continuing compliance with the conditions of the exemption</w:t>
      </w:r>
      <w:r w:rsidR="00DD5FBE" w:rsidRPr="00563555">
        <w:rPr>
          <w:sz w:val="20"/>
          <w:szCs w:val="20"/>
        </w:rPr>
        <w:t>.</w:t>
      </w:r>
    </w:p>
    <w:p w14:paraId="62AFE4BA" w14:textId="77777777" w:rsidR="007A2C24" w:rsidRPr="00563555" w:rsidRDefault="007A2C24" w:rsidP="0026785C">
      <w:pPr>
        <w:rPr>
          <w:sz w:val="20"/>
          <w:szCs w:val="20"/>
        </w:rPr>
      </w:pPr>
    </w:p>
    <w:p w14:paraId="10E69761" w14:textId="256031FB" w:rsidR="007A2C24" w:rsidRPr="00563555" w:rsidRDefault="007A2C24" w:rsidP="0026785C">
      <w:pPr>
        <w:rPr>
          <w:sz w:val="20"/>
          <w:szCs w:val="20"/>
        </w:rPr>
      </w:pPr>
      <w:r w:rsidRPr="00563555">
        <w:rPr>
          <w:sz w:val="20"/>
          <w:szCs w:val="20"/>
        </w:rPr>
        <w:t xml:space="preserve">The </w:t>
      </w:r>
      <w:r w:rsidR="00DD5FBE" w:rsidRPr="00563555">
        <w:rPr>
          <w:sz w:val="20"/>
          <w:szCs w:val="20"/>
        </w:rPr>
        <w:t>Annual C</w:t>
      </w:r>
      <w:r w:rsidRPr="00563555">
        <w:rPr>
          <w:sz w:val="20"/>
          <w:szCs w:val="20"/>
        </w:rPr>
        <w:t xml:space="preserve">ertification </w:t>
      </w:r>
      <w:r w:rsidR="00DD5FBE" w:rsidRPr="00563555">
        <w:rPr>
          <w:sz w:val="20"/>
          <w:szCs w:val="20"/>
        </w:rPr>
        <w:t>Review is</w:t>
      </w:r>
      <w:r w:rsidRPr="00563555">
        <w:rPr>
          <w:sz w:val="20"/>
          <w:szCs w:val="20"/>
        </w:rPr>
        <w:t xml:space="preserve"> completed no later than six months following the end of the period covered by the review</w:t>
      </w:r>
      <w:r w:rsidR="0040615A" w:rsidRPr="00563555">
        <w:rPr>
          <w:sz w:val="20"/>
          <w:szCs w:val="20"/>
        </w:rPr>
        <w:t xml:space="preserve">.  This is typically conducted during </w:t>
      </w:r>
      <w:r w:rsidR="004519DD" w:rsidRPr="00563555">
        <w:rPr>
          <w:sz w:val="20"/>
          <w:szCs w:val="20"/>
        </w:rPr>
        <w:t xml:space="preserve">Q4 or </w:t>
      </w:r>
      <w:r w:rsidR="00E234E3" w:rsidRPr="00563555">
        <w:rPr>
          <w:sz w:val="20"/>
          <w:szCs w:val="20"/>
        </w:rPr>
        <w:t xml:space="preserve">the following </w:t>
      </w:r>
      <w:r w:rsidR="004519DD" w:rsidRPr="00563555">
        <w:rPr>
          <w:sz w:val="20"/>
          <w:szCs w:val="20"/>
        </w:rPr>
        <w:t xml:space="preserve">Q1.   Our </w:t>
      </w:r>
      <w:r w:rsidRPr="00563555">
        <w:rPr>
          <w:sz w:val="20"/>
          <w:szCs w:val="20"/>
        </w:rPr>
        <w:t>Firm retain</w:t>
      </w:r>
      <w:r w:rsidR="00553981" w:rsidRPr="00563555">
        <w:rPr>
          <w:sz w:val="20"/>
          <w:szCs w:val="20"/>
        </w:rPr>
        <w:t>s</w:t>
      </w:r>
      <w:r w:rsidRPr="00563555">
        <w:rPr>
          <w:sz w:val="20"/>
          <w:szCs w:val="20"/>
        </w:rPr>
        <w:t xml:space="preserve"> the report, certification, and supporting data for six years and provide these documents to the Department within 10 business days of a request.</w:t>
      </w:r>
    </w:p>
    <w:p w14:paraId="794A159D" w14:textId="77777777" w:rsidR="007A2C24" w:rsidRPr="00563555" w:rsidRDefault="007A2C24" w:rsidP="0026785C">
      <w:pPr>
        <w:rPr>
          <w:sz w:val="20"/>
          <w:szCs w:val="20"/>
        </w:rPr>
      </w:pPr>
    </w:p>
    <w:p w14:paraId="2A2C1CC6" w14:textId="6250D36C" w:rsidR="007A2C24" w:rsidRPr="00563555" w:rsidRDefault="007A2C24" w:rsidP="0026785C">
      <w:pPr>
        <w:rPr>
          <w:sz w:val="20"/>
          <w:szCs w:val="20"/>
        </w:rPr>
      </w:pPr>
      <w:r w:rsidRPr="00563555">
        <w:rPr>
          <w:sz w:val="20"/>
          <w:szCs w:val="20"/>
        </w:rPr>
        <w:t xml:space="preserve">Our Firm will use the results of the review to find more effective ways to help ensure that our firm is providing investment advice in accordance with the Impartial Conduct Standards and to correct any deficiencies in existing policies and procedures. </w:t>
      </w:r>
      <w:r w:rsidR="00BC57B8" w:rsidRPr="00563555">
        <w:rPr>
          <w:sz w:val="20"/>
          <w:szCs w:val="20"/>
        </w:rPr>
        <w:t xml:space="preserve"> CCO will</w:t>
      </w:r>
      <w:r w:rsidRPr="00563555">
        <w:rPr>
          <w:sz w:val="20"/>
          <w:szCs w:val="20"/>
        </w:rPr>
        <w:t xml:space="preserve"> carefully review the report before making the required certifications, so that they can make the certifications with confidence.  Making the certifications without carefully reviewing the report would constitute a violation of the exemption. This ensures that our Firm, through an appropriate senior executive officer</w:t>
      </w:r>
      <w:r w:rsidR="002D3341" w:rsidRPr="00563555">
        <w:rPr>
          <w:sz w:val="20"/>
          <w:szCs w:val="20"/>
        </w:rPr>
        <w:t xml:space="preserve"> and/or CCO</w:t>
      </w:r>
      <w:r w:rsidRPr="00563555">
        <w:rPr>
          <w:sz w:val="20"/>
          <w:szCs w:val="20"/>
        </w:rPr>
        <w:t>, is fully accountable for the retrospective review.</w:t>
      </w:r>
    </w:p>
    <w:p w14:paraId="677DB9EE" w14:textId="77777777" w:rsidR="003778C3" w:rsidRPr="00563555" w:rsidRDefault="003778C3" w:rsidP="0026785C">
      <w:pPr>
        <w:rPr>
          <w:sz w:val="20"/>
          <w:szCs w:val="20"/>
        </w:rPr>
      </w:pPr>
    </w:p>
    <w:p w14:paraId="4E66F96C" w14:textId="022783C0" w:rsidR="003778C3" w:rsidRPr="00563555" w:rsidRDefault="00085F6D" w:rsidP="0026785C">
      <w:pPr>
        <w:rPr>
          <w:sz w:val="20"/>
          <w:szCs w:val="20"/>
        </w:rPr>
      </w:pPr>
      <w:r w:rsidRPr="00563555">
        <w:rPr>
          <w:sz w:val="20"/>
          <w:szCs w:val="20"/>
        </w:rPr>
        <w:t xml:space="preserve">The only time a recommendation will NOT be considered fiduciary under ERISA, or the Code is </w:t>
      </w:r>
      <w:r w:rsidRPr="00563555">
        <w:rPr>
          <w:b/>
          <w:bCs/>
          <w:sz w:val="20"/>
          <w:szCs w:val="20"/>
        </w:rPr>
        <w:t xml:space="preserve">when our Firm </w:t>
      </w:r>
      <w:r w:rsidR="005C239D">
        <w:rPr>
          <w:b/>
          <w:bCs/>
          <w:sz w:val="20"/>
          <w:szCs w:val="20"/>
        </w:rPr>
        <w:t xml:space="preserve">received an unsolicited rollover transaction, initiated by the client, and </w:t>
      </w:r>
      <w:r w:rsidR="00557410">
        <w:rPr>
          <w:b/>
          <w:bCs/>
          <w:sz w:val="20"/>
          <w:szCs w:val="20"/>
        </w:rPr>
        <w:t xml:space="preserve">we </w:t>
      </w:r>
      <w:r w:rsidRPr="00563555">
        <w:rPr>
          <w:b/>
          <w:bCs/>
          <w:sz w:val="20"/>
          <w:szCs w:val="20"/>
        </w:rPr>
        <w:t xml:space="preserve">did not provide investment advice </w:t>
      </w:r>
      <w:r w:rsidR="00557410">
        <w:rPr>
          <w:b/>
          <w:bCs/>
          <w:sz w:val="20"/>
          <w:szCs w:val="20"/>
        </w:rPr>
        <w:t xml:space="preserve">or recommendations, </w:t>
      </w:r>
      <w:r w:rsidRPr="00563555">
        <w:rPr>
          <w:b/>
          <w:bCs/>
          <w:sz w:val="20"/>
          <w:szCs w:val="20"/>
        </w:rPr>
        <w:t xml:space="preserve">before or after the rollover. </w:t>
      </w:r>
    </w:p>
    <w:p w14:paraId="065423B7" w14:textId="77777777" w:rsidR="00AD0E55" w:rsidRPr="00563555" w:rsidRDefault="00AD0E55" w:rsidP="0026785C">
      <w:pPr>
        <w:rPr>
          <w:sz w:val="20"/>
          <w:szCs w:val="20"/>
        </w:rPr>
      </w:pPr>
    </w:p>
    <w:p w14:paraId="361BCB2C" w14:textId="77777777" w:rsidR="00C7280A" w:rsidRPr="00563555" w:rsidRDefault="00C7280A" w:rsidP="0026785C">
      <w:pPr>
        <w:rPr>
          <w:sz w:val="20"/>
          <w:szCs w:val="20"/>
        </w:rPr>
      </w:pPr>
    </w:p>
    <w:p w14:paraId="7CD703CD" w14:textId="62D65A0F" w:rsidR="00D12BBB" w:rsidRPr="00935156" w:rsidRDefault="00D12BBB" w:rsidP="00D12BBB">
      <w:pPr>
        <w:pStyle w:val="Heading2"/>
      </w:pPr>
      <w:r w:rsidRPr="00E1225B">
        <w:t>UNSOLICITED ROLLOVER TRANSACTION</w:t>
      </w:r>
      <w:r>
        <w:t>S</w:t>
      </w:r>
    </w:p>
    <w:p w14:paraId="5FB9D4B2" w14:textId="77777777" w:rsidR="00D12BBB" w:rsidRPr="00563555" w:rsidRDefault="00D12BBB" w:rsidP="00D12BBB">
      <w:pPr>
        <w:rPr>
          <w:sz w:val="20"/>
          <w:szCs w:val="20"/>
        </w:rPr>
      </w:pPr>
      <w:r w:rsidRPr="00563555">
        <w:rPr>
          <w:sz w:val="20"/>
          <w:szCs w:val="20"/>
        </w:rPr>
        <w:t>Firms may obtain plan assets from a qualified plan or an IRA transfer, on an unsolicited basis with the intent to be managed, and where the client independently decided to rollover the assets.</w:t>
      </w:r>
    </w:p>
    <w:p w14:paraId="77218900" w14:textId="77777777" w:rsidR="00D12BBB" w:rsidRPr="00563555" w:rsidRDefault="00D12BBB" w:rsidP="00D12BBB">
      <w:pPr>
        <w:rPr>
          <w:sz w:val="20"/>
          <w:szCs w:val="20"/>
        </w:rPr>
      </w:pPr>
    </w:p>
    <w:p w14:paraId="5C91CB1F" w14:textId="1B466824" w:rsidR="00D12BBB" w:rsidRPr="00F77FAF" w:rsidRDefault="00D12BBB" w:rsidP="00D12BBB">
      <w:pPr>
        <w:pStyle w:val="Heading2"/>
      </w:pPr>
      <w:r w:rsidRPr="00563555">
        <w:t>SUPERVISORY OVERSIGHT</w:t>
      </w:r>
      <w:r w:rsidR="00331D3E">
        <w:t xml:space="preserve"> ON UNSOLICITED ROLLOVERS</w:t>
      </w:r>
    </w:p>
    <w:p w14:paraId="602A437E" w14:textId="341C6F14" w:rsidR="00D12BBB" w:rsidRDefault="00D12BBB" w:rsidP="00D12BBB">
      <w:pPr>
        <w:rPr>
          <w:b/>
          <w:bCs/>
          <w:sz w:val="20"/>
          <w:szCs w:val="20"/>
        </w:rPr>
      </w:pPr>
      <w:r w:rsidRPr="00563555">
        <w:rPr>
          <w:sz w:val="20"/>
          <w:szCs w:val="20"/>
        </w:rPr>
        <w:t>IAR</w:t>
      </w:r>
      <w:r>
        <w:rPr>
          <w:sz w:val="20"/>
          <w:szCs w:val="20"/>
        </w:rPr>
        <w:t>’s</w:t>
      </w:r>
      <w:r w:rsidRPr="00563555">
        <w:rPr>
          <w:sz w:val="20"/>
          <w:szCs w:val="20"/>
        </w:rPr>
        <w:t xml:space="preserve"> will be required to obtain a client</w:t>
      </w:r>
      <w:r>
        <w:rPr>
          <w:sz w:val="20"/>
          <w:szCs w:val="20"/>
        </w:rPr>
        <w:t>’s</w:t>
      </w:r>
      <w:r w:rsidRPr="00563555">
        <w:rPr>
          <w:sz w:val="20"/>
          <w:szCs w:val="20"/>
        </w:rPr>
        <w:t xml:space="preserve"> attestation that the IAR did not provide “investment advice</w:t>
      </w:r>
      <w:r w:rsidR="00DE0165">
        <w:rPr>
          <w:sz w:val="20"/>
          <w:szCs w:val="20"/>
        </w:rPr>
        <w:t xml:space="preserve"> or</w:t>
      </w:r>
      <w:r>
        <w:rPr>
          <w:sz w:val="20"/>
          <w:szCs w:val="20"/>
        </w:rPr>
        <w:t xml:space="preserve"> recommendations” </w:t>
      </w:r>
      <w:r w:rsidRPr="00563555">
        <w:rPr>
          <w:sz w:val="20"/>
          <w:szCs w:val="20"/>
        </w:rPr>
        <w:t xml:space="preserve">regarding the </w:t>
      </w:r>
      <w:r>
        <w:rPr>
          <w:sz w:val="20"/>
          <w:szCs w:val="20"/>
        </w:rPr>
        <w:t xml:space="preserve">plan </w:t>
      </w:r>
      <w:r w:rsidRPr="00563555">
        <w:rPr>
          <w:sz w:val="20"/>
          <w:szCs w:val="20"/>
        </w:rPr>
        <w:t xml:space="preserve">rollover </w:t>
      </w:r>
      <w:r>
        <w:rPr>
          <w:sz w:val="20"/>
          <w:szCs w:val="20"/>
        </w:rPr>
        <w:t>or IRA transfer.  IAR’s are</w:t>
      </w:r>
      <w:r w:rsidRPr="00563555">
        <w:rPr>
          <w:sz w:val="20"/>
          <w:szCs w:val="20"/>
        </w:rPr>
        <w:t xml:space="preserve"> required to submit client signed documentation to Compliance for review.</w:t>
      </w:r>
      <w:r w:rsidRPr="00563555">
        <w:rPr>
          <w:b/>
          <w:bCs/>
          <w:sz w:val="20"/>
          <w:szCs w:val="20"/>
        </w:rPr>
        <w:t xml:space="preserve"> </w:t>
      </w:r>
    </w:p>
    <w:p w14:paraId="506C33CE" w14:textId="29A95A7B" w:rsidR="00D12BBB" w:rsidRDefault="00D12BBB" w:rsidP="00D12BBB">
      <w:pPr>
        <w:rPr>
          <w:b/>
          <w:bCs/>
          <w:sz w:val="20"/>
          <w:szCs w:val="20"/>
        </w:rPr>
      </w:pPr>
      <w:r w:rsidRPr="00A96DCD">
        <w:rPr>
          <w:b/>
          <w:bCs/>
          <w:sz w:val="20"/>
          <w:szCs w:val="20"/>
          <w:highlight w:val="yellow"/>
        </w:rPr>
        <w:t>Please see</w:t>
      </w:r>
      <w:r w:rsidR="00FD7710">
        <w:rPr>
          <w:b/>
          <w:bCs/>
          <w:sz w:val="20"/>
          <w:szCs w:val="20"/>
          <w:highlight w:val="yellow"/>
        </w:rPr>
        <w:t xml:space="preserve">: </w:t>
      </w:r>
      <w:r w:rsidRPr="00A96DCD">
        <w:rPr>
          <w:b/>
          <w:bCs/>
          <w:sz w:val="20"/>
          <w:szCs w:val="20"/>
          <w:highlight w:val="yellow"/>
        </w:rPr>
        <w:t xml:space="preserve"> </w:t>
      </w:r>
      <w:r>
        <w:rPr>
          <w:b/>
          <w:bCs/>
          <w:sz w:val="20"/>
          <w:szCs w:val="20"/>
          <w:highlight w:val="yellow"/>
        </w:rPr>
        <w:t>Unsolicited Transactions</w:t>
      </w:r>
      <w:r w:rsidRPr="00A96DCD">
        <w:rPr>
          <w:b/>
          <w:bCs/>
          <w:sz w:val="20"/>
          <w:szCs w:val="20"/>
          <w:highlight w:val="yellow"/>
        </w:rPr>
        <w:t xml:space="preserve"> - </w:t>
      </w:r>
      <w:r>
        <w:rPr>
          <w:b/>
          <w:bCs/>
          <w:sz w:val="20"/>
          <w:szCs w:val="20"/>
          <w:highlight w:val="yellow"/>
        </w:rPr>
        <w:t>Client</w:t>
      </w:r>
      <w:r w:rsidRPr="00A96DCD">
        <w:rPr>
          <w:b/>
          <w:bCs/>
          <w:sz w:val="20"/>
          <w:szCs w:val="20"/>
          <w:highlight w:val="yellow"/>
        </w:rPr>
        <w:t xml:space="preserve"> Attestation form.</w:t>
      </w:r>
    </w:p>
    <w:p w14:paraId="40A108AF" w14:textId="77777777" w:rsidR="00D12BBB" w:rsidRPr="00563555" w:rsidRDefault="00D12BBB" w:rsidP="0026785C">
      <w:pPr>
        <w:rPr>
          <w:sz w:val="20"/>
          <w:szCs w:val="20"/>
        </w:rPr>
      </w:pPr>
    </w:p>
    <w:p w14:paraId="4AE1B2BF" w14:textId="77777777" w:rsidR="00C7280A" w:rsidRPr="00563555" w:rsidRDefault="00C7280A" w:rsidP="0026785C">
      <w:pPr>
        <w:rPr>
          <w:sz w:val="20"/>
          <w:szCs w:val="20"/>
        </w:rPr>
      </w:pPr>
    </w:p>
    <w:p w14:paraId="590EED03" w14:textId="77777777" w:rsidR="00C7280A" w:rsidRPr="00563555" w:rsidRDefault="00C7280A" w:rsidP="0026785C">
      <w:pPr>
        <w:rPr>
          <w:sz w:val="20"/>
          <w:szCs w:val="20"/>
        </w:rPr>
      </w:pPr>
    </w:p>
    <w:p w14:paraId="2CF58D86" w14:textId="77777777" w:rsidR="00C7280A" w:rsidRPr="00563555" w:rsidRDefault="00C7280A" w:rsidP="0026785C">
      <w:pPr>
        <w:rPr>
          <w:sz w:val="20"/>
          <w:szCs w:val="20"/>
        </w:rPr>
      </w:pPr>
    </w:p>
    <w:p w14:paraId="47F842A2" w14:textId="77777777" w:rsidR="00DC494C" w:rsidRDefault="00DC494C" w:rsidP="0026785C">
      <w:pPr>
        <w:rPr>
          <w:sz w:val="20"/>
          <w:szCs w:val="20"/>
        </w:rPr>
      </w:pPr>
    </w:p>
    <w:p w14:paraId="3C342E5D" w14:textId="77777777" w:rsidR="00E15102" w:rsidRDefault="00E15102" w:rsidP="00732321">
      <w:pPr>
        <w:rPr>
          <w:sz w:val="20"/>
          <w:szCs w:val="20"/>
        </w:rPr>
      </w:pPr>
    </w:p>
    <w:p w14:paraId="4F258A09" w14:textId="77777777" w:rsidR="00E1225B" w:rsidRPr="00352B5B" w:rsidRDefault="00E1225B" w:rsidP="00E1225B">
      <w:pPr>
        <w:jc w:val="center"/>
        <w:rPr>
          <w:b/>
          <w:bCs/>
          <w:sz w:val="20"/>
          <w:szCs w:val="20"/>
          <w:highlight w:val="green"/>
        </w:rPr>
      </w:pPr>
      <w:r w:rsidRPr="00352B5B">
        <w:rPr>
          <w:b/>
          <w:bCs/>
          <w:sz w:val="20"/>
          <w:szCs w:val="20"/>
          <w:highlight w:val="yellow"/>
        </w:rPr>
        <w:t>[</w:t>
      </w:r>
      <w:r>
        <w:rPr>
          <w:b/>
          <w:bCs/>
          <w:sz w:val="20"/>
          <w:szCs w:val="20"/>
          <w:highlight w:val="yellow"/>
        </w:rPr>
        <w:t>If the firm offers this service: c</w:t>
      </w:r>
      <w:r w:rsidRPr="00352B5B">
        <w:rPr>
          <w:b/>
          <w:bCs/>
          <w:sz w:val="20"/>
          <w:szCs w:val="20"/>
          <w:highlight w:val="yellow"/>
        </w:rPr>
        <w:t xml:space="preserve">opy and paste </w:t>
      </w:r>
      <w:r>
        <w:rPr>
          <w:b/>
          <w:bCs/>
          <w:sz w:val="20"/>
          <w:szCs w:val="20"/>
          <w:highlight w:val="yellow"/>
        </w:rPr>
        <w:t xml:space="preserve">this policy </w:t>
      </w:r>
      <w:r w:rsidRPr="00352B5B">
        <w:rPr>
          <w:b/>
          <w:bCs/>
          <w:sz w:val="20"/>
          <w:szCs w:val="20"/>
          <w:highlight w:val="yellow"/>
        </w:rPr>
        <w:t xml:space="preserve">into </w:t>
      </w:r>
      <w:r>
        <w:rPr>
          <w:b/>
          <w:bCs/>
          <w:sz w:val="20"/>
          <w:szCs w:val="20"/>
          <w:highlight w:val="yellow"/>
        </w:rPr>
        <w:t>your firms</w:t>
      </w:r>
      <w:r w:rsidRPr="00352B5B">
        <w:rPr>
          <w:b/>
          <w:bCs/>
          <w:sz w:val="20"/>
          <w:szCs w:val="20"/>
          <w:highlight w:val="yellow"/>
        </w:rPr>
        <w:t xml:space="preserve"> Compliance Manual]</w:t>
      </w:r>
    </w:p>
    <w:p w14:paraId="71725720" w14:textId="0E9B4D9D" w:rsidR="00B30DEA" w:rsidRPr="005F1CBD" w:rsidRDefault="003778C3" w:rsidP="005F1CBD">
      <w:pPr>
        <w:pStyle w:val="IntenseQuote"/>
        <w:rPr>
          <w:b/>
          <w:bCs/>
          <w:i w:val="0"/>
          <w:iCs w:val="0"/>
        </w:rPr>
      </w:pPr>
      <w:bookmarkStart w:id="2" w:name="_INVESTMENT_EDUCATION"/>
      <w:bookmarkEnd w:id="2"/>
      <w:r w:rsidRPr="005F1CBD">
        <w:rPr>
          <w:b/>
          <w:bCs/>
          <w:i w:val="0"/>
          <w:iCs w:val="0"/>
        </w:rPr>
        <w:t xml:space="preserve">INVESTMENT EDUCATION </w:t>
      </w:r>
    </w:p>
    <w:p w14:paraId="2D66E312" w14:textId="25BAE647" w:rsidR="006041A5" w:rsidRPr="00563555" w:rsidRDefault="00271FEE" w:rsidP="0026785C">
      <w:pPr>
        <w:rPr>
          <w:sz w:val="20"/>
          <w:szCs w:val="20"/>
        </w:rPr>
      </w:pPr>
      <w:r>
        <w:rPr>
          <w:sz w:val="20"/>
          <w:szCs w:val="20"/>
        </w:rPr>
        <w:t xml:space="preserve">Below </w:t>
      </w:r>
      <w:r w:rsidRPr="00563555">
        <w:rPr>
          <w:sz w:val="20"/>
          <w:szCs w:val="20"/>
        </w:rPr>
        <w:t xml:space="preserve">sets forth the Firm’s policies and procedures to address compliance with the Department of Labor’s PTE 2020-02, </w:t>
      </w:r>
      <w:r w:rsidRPr="00563555">
        <w:rPr>
          <w:i/>
          <w:iCs/>
          <w:sz w:val="20"/>
          <w:szCs w:val="20"/>
        </w:rPr>
        <w:t>Improving Investment Advice for Workers &amp; Retirees</w:t>
      </w:r>
      <w:r>
        <w:rPr>
          <w:sz w:val="20"/>
          <w:szCs w:val="20"/>
        </w:rPr>
        <w:t>.  The</w:t>
      </w:r>
      <w:r w:rsidR="00224C79" w:rsidRPr="00563555">
        <w:rPr>
          <w:sz w:val="20"/>
          <w:szCs w:val="20"/>
        </w:rPr>
        <w:t xml:space="preserve"> </w:t>
      </w:r>
      <w:r w:rsidR="00B55FF4" w:rsidRPr="00563555">
        <w:rPr>
          <w:sz w:val="20"/>
          <w:szCs w:val="20"/>
        </w:rPr>
        <w:t xml:space="preserve">Department of Labor has determined that the furnishing of </w:t>
      </w:r>
      <w:r w:rsidR="00847E57" w:rsidRPr="00563555">
        <w:rPr>
          <w:sz w:val="20"/>
          <w:szCs w:val="20"/>
        </w:rPr>
        <w:t xml:space="preserve">qualified plan </w:t>
      </w:r>
      <w:r w:rsidR="00B55FF4" w:rsidRPr="00563555">
        <w:rPr>
          <w:sz w:val="20"/>
          <w:szCs w:val="20"/>
        </w:rPr>
        <w:t xml:space="preserve">information and </w:t>
      </w:r>
      <w:r w:rsidR="00847E57" w:rsidRPr="00563555">
        <w:rPr>
          <w:sz w:val="20"/>
          <w:szCs w:val="20"/>
        </w:rPr>
        <w:t xml:space="preserve">educational </w:t>
      </w:r>
      <w:r w:rsidR="00B55FF4" w:rsidRPr="00563555">
        <w:rPr>
          <w:sz w:val="20"/>
          <w:szCs w:val="20"/>
        </w:rPr>
        <w:t>materials to a participant or beneficiary in a participant-directed</w:t>
      </w:r>
      <w:r w:rsidR="00847E57" w:rsidRPr="00563555">
        <w:rPr>
          <w:sz w:val="20"/>
          <w:szCs w:val="20"/>
        </w:rPr>
        <w:t xml:space="preserve"> qu</w:t>
      </w:r>
      <w:r w:rsidR="00D961E3" w:rsidRPr="00563555">
        <w:rPr>
          <w:sz w:val="20"/>
          <w:szCs w:val="20"/>
        </w:rPr>
        <w:t>alified plan</w:t>
      </w:r>
      <w:r w:rsidR="00B55FF4" w:rsidRPr="00563555">
        <w:rPr>
          <w:sz w:val="20"/>
          <w:szCs w:val="20"/>
        </w:rPr>
        <w:t xml:space="preserve"> will not constitute the rendering of ``investment advice</w:t>
      </w:r>
      <w:r w:rsidR="00E85EA8" w:rsidRPr="00563555">
        <w:rPr>
          <w:sz w:val="20"/>
          <w:szCs w:val="20"/>
        </w:rPr>
        <w:t>’’</w:t>
      </w:r>
      <w:r w:rsidR="00214088">
        <w:rPr>
          <w:sz w:val="20"/>
          <w:szCs w:val="20"/>
        </w:rPr>
        <w:t>.</w:t>
      </w:r>
    </w:p>
    <w:p w14:paraId="30C806AA" w14:textId="77777777" w:rsidR="005F1CBD" w:rsidRDefault="005F1CBD" w:rsidP="0026785C">
      <w:pPr>
        <w:rPr>
          <w:sz w:val="20"/>
          <w:szCs w:val="20"/>
        </w:rPr>
      </w:pPr>
    </w:p>
    <w:p w14:paraId="1C4F9715" w14:textId="14BF290B" w:rsidR="005F1CBD" w:rsidRPr="005F1CBD" w:rsidRDefault="005F1CBD" w:rsidP="005F1CBD">
      <w:pPr>
        <w:pStyle w:val="Heading2"/>
      </w:pPr>
      <w:r>
        <w:t>POLICY</w:t>
      </w:r>
    </w:p>
    <w:p w14:paraId="6B9382E4" w14:textId="50B5390A" w:rsidR="006041A5" w:rsidRPr="00563555" w:rsidRDefault="00753DB6" w:rsidP="0026785C">
      <w:pPr>
        <w:rPr>
          <w:sz w:val="20"/>
          <w:szCs w:val="20"/>
        </w:rPr>
      </w:pPr>
      <w:r>
        <w:rPr>
          <w:sz w:val="20"/>
          <w:szCs w:val="20"/>
        </w:rPr>
        <w:t xml:space="preserve">Our Firm’s policy is to have IARs provide </w:t>
      </w:r>
      <w:r w:rsidR="00AF7B7C">
        <w:rPr>
          <w:sz w:val="20"/>
          <w:szCs w:val="20"/>
        </w:rPr>
        <w:t xml:space="preserve">education only to participants or beneficiaries in a participate directed qualified plan.  </w:t>
      </w:r>
      <w:r w:rsidR="006041A5" w:rsidRPr="00563555">
        <w:rPr>
          <w:sz w:val="20"/>
          <w:szCs w:val="20"/>
        </w:rPr>
        <w:t xml:space="preserve">DOL IB 96–1 identifies four categories (or “safe harbors”) of investment-related educational materials that advisors or others can provide to plan participants and beneficiaries without being considered to have provided fiduciary investment advice: </w:t>
      </w:r>
    </w:p>
    <w:p w14:paraId="3710CC86" w14:textId="77777777" w:rsidR="006041A5" w:rsidRPr="00563555" w:rsidRDefault="006041A5" w:rsidP="0026785C">
      <w:pPr>
        <w:rPr>
          <w:sz w:val="20"/>
          <w:szCs w:val="20"/>
        </w:rPr>
      </w:pPr>
    </w:p>
    <w:p w14:paraId="53358FB1" w14:textId="052A3F06" w:rsidR="006041A5" w:rsidRPr="00563555" w:rsidRDefault="006041A5" w:rsidP="005C4CED">
      <w:pPr>
        <w:pStyle w:val="ListParagraph"/>
        <w:numPr>
          <w:ilvl w:val="0"/>
          <w:numId w:val="4"/>
        </w:numPr>
        <w:rPr>
          <w:sz w:val="20"/>
          <w:szCs w:val="20"/>
        </w:rPr>
      </w:pPr>
      <w:r w:rsidRPr="00563555">
        <w:rPr>
          <w:sz w:val="20"/>
          <w:szCs w:val="20"/>
        </w:rPr>
        <w:t>Plan information</w:t>
      </w:r>
    </w:p>
    <w:p w14:paraId="1CA08F8A" w14:textId="7913C887" w:rsidR="006041A5" w:rsidRPr="00563555" w:rsidRDefault="00D961E3" w:rsidP="005C4CED">
      <w:pPr>
        <w:pStyle w:val="ListParagraph"/>
        <w:numPr>
          <w:ilvl w:val="0"/>
          <w:numId w:val="4"/>
        </w:numPr>
        <w:rPr>
          <w:sz w:val="20"/>
          <w:szCs w:val="20"/>
        </w:rPr>
      </w:pPr>
      <w:r w:rsidRPr="00563555">
        <w:rPr>
          <w:sz w:val="20"/>
          <w:szCs w:val="20"/>
        </w:rPr>
        <w:t xml:space="preserve">General </w:t>
      </w:r>
      <w:r w:rsidR="006041A5" w:rsidRPr="00563555">
        <w:rPr>
          <w:sz w:val="20"/>
          <w:szCs w:val="20"/>
        </w:rPr>
        <w:t xml:space="preserve">Investment Information </w:t>
      </w:r>
    </w:p>
    <w:p w14:paraId="41C7D942" w14:textId="731CD42E" w:rsidR="006041A5" w:rsidRPr="00563555" w:rsidRDefault="006041A5" w:rsidP="005C4CED">
      <w:pPr>
        <w:pStyle w:val="ListParagraph"/>
        <w:numPr>
          <w:ilvl w:val="0"/>
          <w:numId w:val="4"/>
        </w:numPr>
        <w:rPr>
          <w:sz w:val="20"/>
          <w:szCs w:val="20"/>
        </w:rPr>
      </w:pPr>
      <w:r w:rsidRPr="00563555">
        <w:rPr>
          <w:sz w:val="20"/>
          <w:szCs w:val="20"/>
        </w:rPr>
        <w:t>Asset Allocation Models, and</w:t>
      </w:r>
    </w:p>
    <w:p w14:paraId="4A784EBB" w14:textId="574FBCAC" w:rsidR="006041A5" w:rsidRPr="00563555" w:rsidRDefault="006041A5" w:rsidP="005C4CED">
      <w:pPr>
        <w:pStyle w:val="ListParagraph"/>
        <w:numPr>
          <w:ilvl w:val="0"/>
          <w:numId w:val="4"/>
        </w:numPr>
        <w:rPr>
          <w:sz w:val="20"/>
          <w:szCs w:val="20"/>
        </w:rPr>
      </w:pPr>
      <w:r w:rsidRPr="00563555">
        <w:rPr>
          <w:sz w:val="20"/>
          <w:szCs w:val="20"/>
        </w:rPr>
        <w:t>Interactive Investment Materials</w:t>
      </w:r>
    </w:p>
    <w:p w14:paraId="06DE7BD6" w14:textId="77777777" w:rsidR="00085F6D" w:rsidRPr="00563555" w:rsidRDefault="00085F6D" w:rsidP="0026785C">
      <w:pPr>
        <w:rPr>
          <w:sz w:val="20"/>
          <w:szCs w:val="20"/>
        </w:rPr>
      </w:pPr>
    </w:p>
    <w:p w14:paraId="5273C2A6" w14:textId="7F299395" w:rsidR="00F8150F" w:rsidRPr="00E15102" w:rsidRDefault="00F8150F" w:rsidP="00214088">
      <w:pPr>
        <w:pStyle w:val="Heading2"/>
        <w:numPr>
          <w:ilvl w:val="3"/>
          <w:numId w:val="10"/>
        </w:numPr>
        <w:ind w:left="1080"/>
      </w:pPr>
      <w:r w:rsidRPr="00E15102">
        <w:t>Plan Information</w:t>
      </w:r>
    </w:p>
    <w:p w14:paraId="5CC0720E" w14:textId="29584D8E" w:rsidR="0082475F" w:rsidRPr="00563555" w:rsidRDefault="00F8150F" w:rsidP="000E5DE2">
      <w:pPr>
        <w:ind w:left="720"/>
        <w:rPr>
          <w:sz w:val="20"/>
          <w:szCs w:val="20"/>
        </w:rPr>
      </w:pPr>
      <w:r w:rsidRPr="00563555">
        <w:rPr>
          <w:sz w:val="20"/>
          <w:szCs w:val="20"/>
        </w:rPr>
        <w:t xml:space="preserve">Information </w:t>
      </w:r>
      <w:r w:rsidR="0082475F" w:rsidRPr="00563555">
        <w:rPr>
          <w:sz w:val="20"/>
          <w:szCs w:val="20"/>
        </w:rPr>
        <w:t xml:space="preserve">and materials described relate to the plan and plan participation, without reference to the appropriateness of any individual investment option for a particular participant or beneficiary under the plan. The information, therefore, does not contain either </w:t>
      </w:r>
      <w:r w:rsidR="00DD602E">
        <w:rPr>
          <w:sz w:val="20"/>
          <w:szCs w:val="20"/>
        </w:rPr>
        <w:t>“</w:t>
      </w:r>
      <w:r w:rsidR="0082475F" w:rsidRPr="00563555">
        <w:rPr>
          <w:sz w:val="20"/>
          <w:szCs w:val="20"/>
        </w:rPr>
        <w:t>advice</w:t>
      </w:r>
      <w:r w:rsidR="00DD602E">
        <w:rPr>
          <w:sz w:val="20"/>
          <w:szCs w:val="20"/>
        </w:rPr>
        <w:t>”</w:t>
      </w:r>
      <w:r w:rsidR="0082475F" w:rsidRPr="00563555">
        <w:rPr>
          <w:sz w:val="20"/>
          <w:szCs w:val="20"/>
        </w:rPr>
        <w:t xml:space="preserve"> or </w:t>
      </w:r>
      <w:r w:rsidR="00DD602E">
        <w:rPr>
          <w:sz w:val="20"/>
          <w:szCs w:val="20"/>
        </w:rPr>
        <w:t>“</w:t>
      </w:r>
      <w:r w:rsidR="00E85EA8" w:rsidRPr="00563555">
        <w:rPr>
          <w:sz w:val="20"/>
          <w:szCs w:val="20"/>
        </w:rPr>
        <w:t>recommendations</w:t>
      </w:r>
      <w:r w:rsidR="00DD602E">
        <w:rPr>
          <w:sz w:val="20"/>
          <w:szCs w:val="20"/>
        </w:rPr>
        <w:t>”</w:t>
      </w:r>
      <w:r w:rsidR="005E1143" w:rsidRPr="00563555">
        <w:rPr>
          <w:sz w:val="20"/>
          <w:szCs w:val="20"/>
        </w:rPr>
        <w:t xml:space="preserve">.  </w:t>
      </w:r>
      <w:r w:rsidR="0082475F" w:rsidRPr="00563555">
        <w:rPr>
          <w:sz w:val="20"/>
          <w:szCs w:val="20"/>
        </w:rPr>
        <w:t xml:space="preserve">Accordingly, the furnishing of such information would not constitute the rendering of </w:t>
      </w:r>
      <w:r w:rsidR="00C84E71">
        <w:rPr>
          <w:sz w:val="20"/>
          <w:szCs w:val="20"/>
        </w:rPr>
        <w:t>“</w:t>
      </w:r>
      <w:r w:rsidR="0082475F" w:rsidRPr="00563555">
        <w:rPr>
          <w:sz w:val="20"/>
          <w:szCs w:val="20"/>
        </w:rPr>
        <w:t>investment advice</w:t>
      </w:r>
      <w:r w:rsidR="00C84E71">
        <w:rPr>
          <w:sz w:val="20"/>
          <w:szCs w:val="20"/>
        </w:rPr>
        <w:t>”</w:t>
      </w:r>
      <w:r w:rsidR="0082475F" w:rsidRPr="00563555">
        <w:rPr>
          <w:sz w:val="20"/>
          <w:szCs w:val="20"/>
        </w:rPr>
        <w:t xml:space="preserve"> for purposes of section 3(21)(A)(ii) of ERISA.</w:t>
      </w:r>
    </w:p>
    <w:p w14:paraId="25EE4478" w14:textId="77777777" w:rsidR="005E1143" w:rsidRPr="00563555" w:rsidRDefault="005E1143" w:rsidP="0026785C">
      <w:pPr>
        <w:rPr>
          <w:sz w:val="20"/>
          <w:szCs w:val="20"/>
        </w:rPr>
      </w:pPr>
    </w:p>
    <w:p w14:paraId="6D595880" w14:textId="6D2EC04B" w:rsidR="005E1143" w:rsidRPr="000E5DE2" w:rsidRDefault="0082475F" w:rsidP="00214088">
      <w:pPr>
        <w:pStyle w:val="ListParagraph"/>
        <w:numPr>
          <w:ilvl w:val="3"/>
          <w:numId w:val="10"/>
        </w:numPr>
        <w:tabs>
          <w:tab w:val="left" w:pos="2520"/>
        </w:tabs>
        <w:ind w:left="1080"/>
        <w:rPr>
          <w:b/>
          <w:bCs/>
          <w:sz w:val="20"/>
          <w:szCs w:val="20"/>
        </w:rPr>
      </w:pPr>
      <w:r w:rsidRPr="000E5DE2">
        <w:rPr>
          <w:b/>
          <w:bCs/>
          <w:sz w:val="20"/>
          <w:szCs w:val="20"/>
        </w:rPr>
        <w:t>General Financial and Investment Information</w:t>
      </w:r>
    </w:p>
    <w:p w14:paraId="190545F5" w14:textId="77777777" w:rsidR="005E1143" w:rsidRDefault="0082475F" w:rsidP="000E5DE2">
      <w:pPr>
        <w:ind w:left="720"/>
        <w:rPr>
          <w:sz w:val="20"/>
          <w:szCs w:val="20"/>
        </w:rPr>
      </w:pPr>
      <w:r w:rsidRPr="00563555">
        <w:rPr>
          <w:sz w:val="20"/>
          <w:szCs w:val="20"/>
        </w:rPr>
        <w:t xml:space="preserve">Information and materials that inform a participant or beneficiary about: </w:t>
      </w:r>
    </w:p>
    <w:p w14:paraId="3A462570" w14:textId="4EF11DF6" w:rsidR="005E1143" w:rsidRPr="00563555" w:rsidRDefault="0082475F" w:rsidP="000E5DE2">
      <w:pPr>
        <w:pStyle w:val="ListParagraph"/>
        <w:numPr>
          <w:ilvl w:val="0"/>
          <w:numId w:val="7"/>
        </w:numPr>
        <w:ind w:left="2160"/>
        <w:rPr>
          <w:sz w:val="20"/>
          <w:szCs w:val="20"/>
        </w:rPr>
      </w:pPr>
      <w:r w:rsidRPr="00563555">
        <w:rPr>
          <w:sz w:val="20"/>
          <w:szCs w:val="20"/>
        </w:rPr>
        <w:t xml:space="preserve">General financial and investment concepts, such as risk and return, diversification, dollar cost averaging, compounded return, and tax deferred investment; </w:t>
      </w:r>
    </w:p>
    <w:p w14:paraId="6934FAE2" w14:textId="3B3A8A38" w:rsidR="005E1143" w:rsidRPr="00563555" w:rsidRDefault="00FE7329" w:rsidP="000E5DE2">
      <w:pPr>
        <w:pStyle w:val="ListParagraph"/>
        <w:numPr>
          <w:ilvl w:val="0"/>
          <w:numId w:val="7"/>
        </w:numPr>
        <w:ind w:left="2160"/>
        <w:rPr>
          <w:sz w:val="20"/>
          <w:szCs w:val="20"/>
        </w:rPr>
      </w:pPr>
      <w:r>
        <w:rPr>
          <w:sz w:val="20"/>
          <w:szCs w:val="20"/>
        </w:rPr>
        <w:t>H</w:t>
      </w:r>
      <w:r w:rsidR="0082475F" w:rsidRPr="00563555">
        <w:rPr>
          <w:sz w:val="20"/>
          <w:szCs w:val="20"/>
        </w:rPr>
        <w:t xml:space="preserve">istoric differences in rates of return between different asset classes (e.g., equities, bonds, or cash) based on standard market indices; </w:t>
      </w:r>
    </w:p>
    <w:p w14:paraId="0C42837F" w14:textId="443D0642" w:rsidR="005E1143" w:rsidRPr="00563555" w:rsidRDefault="00FE7329" w:rsidP="000E5DE2">
      <w:pPr>
        <w:pStyle w:val="ListParagraph"/>
        <w:numPr>
          <w:ilvl w:val="0"/>
          <w:numId w:val="7"/>
        </w:numPr>
        <w:ind w:left="2160"/>
        <w:rPr>
          <w:sz w:val="20"/>
          <w:szCs w:val="20"/>
        </w:rPr>
      </w:pPr>
      <w:r>
        <w:rPr>
          <w:sz w:val="20"/>
          <w:szCs w:val="20"/>
        </w:rPr>
        <w:t>E</w:t>
      </w:r>
      <w:r w:rsidR="0082475F" w:rsidRPr="00563555">
        <w:rPr>
          <w:sz w:val="20"/>
          <w:szCs w:val="20"/>
        </w:rPr>
        <w:t xml:space="preserve">ffects of inflation; </w:t>
      </w:r>
    </w:p>
    <w:p w14:paraId="308A7831" w14:textId="77777777" w:rsidR="00FE7329" w:rsidRDefault="00FE7329" w:rsidP="000E5DE2">
      <w:pPr>
        <w:pStyle w:val="ListParagraph"/>
        <w:numPr>
          <w:ilvl w:val="0"/>
          <w:numId w:val="7"/>
        </w:numPr>
        <w:ind w:left="2160"/>
        <w:rPr>
          <w:sz w:val="20"/>
          <w:szCs w:val="20"/>
        </w:rPr>
      </w:pPr>
      <w:r>
        <w:rPr>
          <w:sz w:val="20"/>
          <w:szCs w:val="20"/>
        </w:rPr>
        <w:t>E</w:t>
      </w:r>
      <w:r w:rsidR="0082475F" w:rsidRPr="00563555">
        <w:rPr>
          <w:sz w:val="20"/>
          <w:szCs w:val="20"/>
        </w:rPr>
        <w:t xml:space="preserve">stimating future retirement income needs; </w:t>
      </w:r>
    </w:p>
    <w:p w14:paraId="0C762C84" w14:textId="17063B7A" w:rsidR="005E1143" w:rsidRPr="00563555" w:rsidRDefault="00FE7329" w:rsidP="000E5DE2">
      <w:pPr>
        <w:pStyle w:val="ListParagraph"/>
        <w:numPr>
          <w:ilvl w:val="0"/>
          <w:numId w:val="7"/>
        </w:numPr>
        <w:ind w:left="2160"/>
        <w:rPr>
          <w:sz w:val="20"/>
          <w:szCs w:val="20"/>
        </w:rPr>
      </w:pPr>
      <w:r>
        <w:rPr>
          <w:sz w:val="20"/>
          <w:szCs w:val="20"/>
        </w:rPr>
        <w:t>D</w:t>
      </w:r>
      <w:r w:rsidR="0082475F" w:rsidRPr="00563555">
        <w:rPr>
          <w:sz w:val="20"/>
          <w:szCs w:val="20"/>
        </w:rPr>
        <w:t xml:space="preserve">etermining investment time horizons; and </w:t>
      </w:r>
    </w:p>
    <w:p w14:paraId="1B36223A" w14:textId="7F437F7E" w:rsidR="0082475F" w:rsidRPr="00563555" w:rsidRDefault="00FE7329" w:rsidP="000E5DE2">
      <w:pPr>
        <w:pStyle w:val="ListParagraph"/>
        <w:numPr>
          <w:ilvl w:val="0"/>
          <w:numId w:val="7"/>
        </w:numPr>
        <w:ind w:left="2160"/>
        <w:rPr>
          <w:sz w:val="20"/>
          <w:szCs w:val="20"/>
        </w:rPr>
      </w:pPr>
      <w:r>
        <w:rPr>
          <w:sz w:val="20"/>
          <w:szCs w:val="20"/>
        </w:rPr>
        <w:t>A</w:t>
      </w:r>
      <w:r w:rsidR="0082475F" w:rsidRPr="00563555">
        <w:rPr>
          <w:sz w:val="20"/>
          <w:szCs w:val="20"/>
        </w:rPr>
        <w:t>ssessing risk tolerance.</w:t>
      </w:r>
    </w:p>
    <w:p w14:paraId="3CBB3A38" w14:textId="77777777" w:rsidR="005E1143" w:rsidRPr="00563555" w:rsidRDefault="0082475F" w:rsidP="0026785C">
      <w:pPr>
        <w:rPr>
          <w:sz w:val="20"/>
          <w:szCs w:val="20"/>
        </w:rPr>
      </w:pPr>
      <w:r w:rsidRPr="00563555">
        <w:rPr>
          <w:sz w:val="20"/>
          <w:szCs w:val="20"/>
        </w:rPr>
        <w:t xml:space="preserve">    </w:t>
      </w:r>
    </w:p>
    <w:p w14:paraId="114FC8E0" w14:textId="213D76D6" w:rsidR="0082475F" w:rsidRPr="00563555" w:rsidRDefault="0082475F" w:rsidP="000E5DE2">
      <w:pPr>
        <w:ind w:left="720"/>
        <w:rPr>
          <w:sz w:val="20"/>
          <w:szCs w:val="20"/>
        </w:rPr>
      </w:pPr>
      <w:r w:rsidRPr="00563555">
        <w:rPr>
          <w:sz w:val="20"/>
          <w:szCs w:val="20"/>
        </w:rPr>
        <w:t xml:space="preserve">The information and materials described above are general financial and investment information that have no direct relationship to investment alternatives available to participants and beneficiaries under a plan or to individual participants or beneficiaries. The furnishing of such information, therefore, would not constitute rendering </w:t>
      </w:r>
      <w:r w:rsidR="002C3916">
        <w:rPr>
          <w:sz w:val="20"/>
          <w:szCs w:val="20"/>
        </w:rPr>
        <w:t>“</w:t>
      </w:r>
      <w:r w:rsidRPr="00563555">
        <w:rPr>
          <w:sz w:val="20"/>
          <w:szCs w:val="20"/>
        </w:rPr>
        <w:t xml:space="preserve">advice'' or making </w:t>
      </w:r>
      <w:r w:rsidR="002C3916">
        <w:rPr>
          <w:sz w:val="20"/>
          <w:szCs w:val="20"/>
        </w:rPr>
        <w:t>“</w:t>
      </w:r>
      <w:r w:rsidRPr="00563555">
        <w:rPr>
          <w:sz w:val="20"/>
          <w:szCs w:val="20"/>
        </w:rPr>
        <w:t>recommendations</w:t>
      </w:r>
      <w:r w:rsidR="002C3916">
        <w:rPr>
          <w:sz w:val="20"/>
          <w:szCs w:val="20"/>
        </w:rPr>
        <w:t>”</w:t>
      </w:r>
      <w:r w:rsidRPr="00563555">
        <w:rPr>
          <w:sz w:val="20"/>
          <w:szCs w:val="20"/>
        </w:rPr>
        <w:t xml:space="preserve"> to a participant or beneficiary</w:t>
      </w:r>
      <w:r w:rsidR="002C3916">
        <w:rPr>
          <w:sz w:val="20"/>
          <w:szCs w:val="20"/>
        </w:rPr>
        <w:t>.</w:t>
      </w:r>
      <w:r w:rsidRPr="00563555">
        <w:rPr>
          <w:sz w:val="20"/>
          <w:szCs w:val="20"/>
        </w:rPr>
        <w:t xml:space="preserve"> </w:t>
      </w:r>
    </w:p>
    <w:p w14:paraId="72FFC407" w14:textId="77777777" w:rsidR="00F8150F" w:rsidRPr="00563555" w:rsidRDefault="00F8150F" w:rsidP="0026785C">
      <w:pPr>
        <w:rPr>
          <w:sz w:val="20"/>
          <w:szCs w:val="20"/>
        </w:rPr>
      </w:pPr>
    </w:p>
    <w:p w14:paraId="5FCFEE49" w14:textId="3B2C45BC" w:rsidR="00F8150F" w:rsidRPr="00563555" w:rsidRDefault="00F8150F" w:rsidP="00214088">
      <w:pPr>
        <w:pStyle w:val="Heading2"/>
        <w:numPr>
          <w:ilvl w:val="3"/>
          <w:numId w:val="10"/>
        </w:numPr>
        <w:ind w:left="1080"/>
      </w:pPr>
      <w:r w:rsidRPr="00563555">
        <w:t>Asset Allocation Models</w:t>
      </w:r>
    </w:p>
    <w:p w14:paraId="46F55F4E" w14:textId="0AB12566" w:rsidR="00F8150F" w:rsidRPr="00563555" w:rsidRDefault="00F8150F" w:rsidP="001611DD">
      <w:pPr>
        <w:ind w:left="720"/>
        <w:rPr>
          <w:sz w:val="20"/>
          <w:szCs w:val="20"/>
        </w:rPr>
      </w:pPr>
      <w:r w:rsidRPr="00563555">
        <w:rPr>
          <w:sz w:val="20"/>
          <w:szCs w:val="20"/>
        </w:rPr>
        <w:t>Examples include pie charts, graphs, or case studies that provide a participant or beneficiary with asset allocation portfolios of hypothetical individuals with different time horizons and risk profiles.  Such models must satisfy the following requirements</w:t>
      </w:r>
      <w:r w:rsidR="001611DD">
        <w:rPr>
          <w:sz w:val="20"/>
          <w:szCs w:val="20"/>
        </w:rPr>
        <w:t>:</w:t>
      </w:r>
    </w:p>
    <w:p w14:paraId="4E5605AE" w14:textId="77777777" w:rsidR="00F8150F" w:rsidRPr="00563555" w:rsidRDefault="00F8150F" w:rsidP="0026785C">
      <w:pPr>
        <w:rPr>
          <w:sz w:val="20"/>
          <w:szCs w:val="20"/>
        </w:rPr>
      </w:pPr>
    </w:p>
    <w:p w14:paraId="5524D5F3" w14:textId="77777777" w:rsidR="00F8150F" w:rsidRPr="00563555" w:rsidRDefault="00F8150F" w:rsidP="005C4CED">
      <w:pPr>
        <w:pStyle w:val="ListParagraph"/>
        <w:numPr>
          <w:ilvl w:val="0"/>
          <w:numId w:val="5"/>
        </w:numPr>
        <w:rPr>
          <w:sz w:val="20"/>
          <w:szCs w:val="20"/>
        </w:rPr>
      </w:pPr>
      <w:r w:rsidRPr="00563555">
        <w:rPr>
          <w:sz w:val="20"/>
          <w:szCs w:val="20"/>
        </w:rPr>
        <w:t>The models must be based on generally accepted investment theories that take into account the historic returns of different asset classes (e.g., equities, bonds, or cash) over define periods of time.</w:t>
      </w:r>
    </w:p>
    <w:p w14:paraId="0130C125" w14:textId="77777777" w:rsidR="00F8150F" w:rsidRPr="00563555" w:rsidRDefault="00F8150F" w:rsidP="005C4CED">
      <w:pPr>
        <w:pStyle w:val="ListParagraph"/>
        <w:numPr>
          <w:ilvl w:val="0"/>
          <w:numId w:val="5"/>
        </w:numPr>
        <w:rPr>
          <w:sz w:val="20"/>
          <w:szCs w:val="20"/>
        </w:rPr>
      </w:pPr>
      <w:r w:rsidRPr="00563555">
        <w:rPr>
          <w:sz w:val="20"/>
          <w:szCs w:val="20"/>
        </w:rPr>
        <w:t>All material facts and assumptions on which such models are based (e.g., retirement ages, life expectancies, income levels, financial resources, replacement income ratios, inflation rates, and rates of return) must accompany the models.</w:t>
      </w:r>
    </w:p>
    <w:p w14:paraId="09367057" w14:textId="77777777" w:rsidR="00000372" w:rsidRPr="00563555" w:rsidRDefault="00000372" w:rsidP="0026785C">
      <w:pPr>
        <w:rPr>
          <w:sz w:val="20"/>
          <w:szCs w:val="20"/>
        </w:rPr>
      </w:pPr>
    </w:p>
    <w:p w14:paraId="28102B54" w14:textId="130E28BB" w:rsidR="00271FEE" w:rsidRDefault="00F8150F" w:rsidP="006A2B36">
      <w:pPr>
        <w:pStyle w:val="ListParagraph"/>
        <w:numPr>
          <w:ilvl w:val="0"/>
          <w:numId w:val="5"/>
        </w:numPr>
        <w:rPr>
          <w:sz w:val="20"/>
          <w:szCs w:val="20"/>
        </w:rPr>
      </w:pPr>
      <w:r w:rsidRPr="00563555">
        <w:rPr>
          <w:sz w:val="20"/>
          <w:szCs w:val="20"/>
        </w:rPr>
        <w:lastRenderedPageBreak/>
        <w:t>To the extent that an asset allocation model identifies any specific investment alternative available under the plan, the model must be accompanied by a statement that</w:t>
      </w:r>
    </w:p>
    <w:p w14:paraId="112E0A8A" w14:textId="343FB5C6" w:rsidR="00F8150F" w:rsidRPr="00563555" w:rsidRDefault="00F8150F" w:rsidP="005C4CED">
      <w:pPr>
        <w:pStyle w:val="ListParagraph"/>
        <w:numPr>
          <w:ilvl w:val="2"/>
          <w:numId w:val="8"/>
        </w:numPr>
        <w:rPr>
          <w:sz w:val="20"/>
          <w:szCs w:val="20"/>
        </w:rPr>
      </w:pPr>
      <w:r w:rsidRPr="00563555">
        <w:rPr>
          <w:sz w:val="20"/>
          <w:szCs w:val="20"/>
        </w:rPr>
        <w:t>other investment alternatives having similar risk and return characteristics may be available under the plan;</w:t>
      </w:r>
    </w:p>
    <w:p w14:paraId="2E571C7C" w14:textId="77777777" w:rsidR="00F8150F" w:rsidRPr="00563555" w:rsidRDefault="00F8150F" w:rsidP="005C4CED">
      <w:pPr>
        <w:pStyle w:val="ListParagraph"/>
        <w:numPr>
          <w:ilvl w:val="2"/>
          <w:numId w:val="8"/>
        </w:numPr>
        <w:rPr>
          <w:sz w:val="20"/>
          <w:szCs w:val="20"/>
        </w:rPr>
      </w:pPr>
      <w:r w:rsidRPr="00563555">
        <w:rPr>
          <w:sz w:val="20"/>
          <w:szCs w:val="20"/>
        </w:rPr>
        <w:t>Identifies where information on those investment alternatives may be obtained; and</w:t>
      </w:r>
    </w:p>
    <w:p w14:paraId="5EEC9E68" w14:textId="1A247C96" w:rsidR="00F8150F" w:rsidRPr="00563555" w:rsidRDefault="00441FDE" w:rsidP="005C4CED">
      <w:pPr>
        <w:pStyle w:val="ListParagraph"/>
        <w:numPr>
          <w:ilvl w:val="2"/>
          <w:numId w:val="8"/>
        </w:numPr>
        <w:rPr>
          <w:sz w:val="20"/>
          <w:szCs w:val="20"/>
        </w:rPr>
      </w:pPr>
      <w:r w:rsidRPr="00563555">
        <w:rPr>
          <w:sz w:val="20"/>
          <w:szCs w:val="20"/>
        </w:rPr>
        <w:t xml:space="preserve">Included </w:t>
      </w:r>
      <w:r w:rsidR="00A3425B" w:rsidRPr="00563555">
        <w:rPr>
          <w:sz w:val="20"/>
          <w:szCs w:val="20"/>
        </w:rPr>
        <w:t>disclosure</w:t>
      </w:r>
      <w:r w:rsidRPr="00563555">
        <w:rPr>
          <w:sz w:val="20"/>
          <w:szCs w:val="20"/>
        </w:rPr>
        <w:t xml:space="preserve"> </w:t>
      </w:r>
      <w:r w:rsidR="00F8150F" w:rsidRPr="00563555">
        <w:rPr>
          <w:sz w:val="20"/>
          <w:szCs w:val="20"/>
        </w:rPr>
        <w:t xml:space="preserve">that, when applying </w:t>
      </w:r>
      <w:r w:rsidR="00A3425B" w:rsidRPr="00563555">
        <w:rPr>
          <w:sz w:val="20"/>
          <w:szCs w:val="20"/>
        </w:rPr>
        <w:t xml:space="preserve">an </w:t>
      </w:r>
      <w:r w:rsidR="00F8150F" w:rsidRPr="00563555">
        <w:rPr>
          <w:sz w:val="20"/>
          <w:szCs w:val="20"/>
        </w:rPr>
        <w:t>asset allocation to their individual situations, participants or beneficiaries should consider their other assets, income, and investments (e.g., equity in a</w:t>
      </w:r>
      <w:r w:rsidR="00A3425B" w:rsidRPr="00563555">
        <w:rPr>
          <w:sz w:val="20"/>
          <w:szCs w:val="20"/>
        </w:rPr>
        <w:t xml:space="preserve"> residence</w:t>
      </w:r>
      <w:r w:rsidR="00F8150F" w:rsidRPr="00563555">
        <w:rPr>
          <w:sz w:val="20"/>
          <w:szCs w:val="20"/>
        </w:rPr>
        <w:t>, IRA</w:t>
      </w:r>
      <w:r w:rsidR="00A3425B" w:rsidRPr="00563555">
        <w:rPr>
          <w:sz w:val="20"/>
          <w:szCs w:val="20"/>
        </w:rPr>
        <w:t xml:space="preserve"> and retirement</w:t>
      </w:r>
      <w:r w:rsidR="00F8150F" w:rsidRPr="00563555">
        <w:rPr>
          <w:sz w:val="20"/>
          <w:szCs w:val="20"/>
        </w:rPr>
        <w:t xml:space="preserve"> investments, savings accounts, and interests in other qualified and non-qualified plans) in addition to their interests in the plan.</w:t>
      </w:r>
    </w:p>
    <w:p w14:paraId="5693AE22" w14:textId="77777777" w:rsidR="00556B64" w:rsidRPr="00563555" w:rsidRDefault="00556B64" w:rsidP="0026785C">
      <w:pPr>
        <w:rPr>
          <w:sz w:val="20"/>
          <w:szCs w:val="20"/>
        </w:rPr>
      </w:pPr>
    </w:p>
    <w:p w14:paraId="493E30F7" w14:textId="31DF2C80" w:rsidR="00F8150F" w:rsidRPr="00563555" w:rsidRDefault="00F8150F" w:rsidP="00214088">
      <w:pPr>
        <w:pStyle w:val="Heading2"/>
        <w:numPr>
          <w:ilvl w:val="0"/>
          <w:numId w:val="5"/>
        </w:numPr>
        <w:ind w:left="1080"/>
      </w:pPr>
      <w:r w:rsidRPr="00563555">
        <w:t>Interactive Investment Materials</w:t>
      </w:r>
    </w:p>
    <w:p w14:paraId="71E95390" w14:textId="3970B831" w:rsidR="00F8150F" w:rsidRPr="00563555" w:rsidRDefault="00F8150F" w:rsidP="00DC22EF">
      <w:pPr>
        <w:ind w:left="720"/>
        <w:rPr>
          <w:sz w:val="20"/>
          <w:szCs w:val="20"/>
        </w:rPr>
      </w:pPr>
      <w:r w:rsidRPr="00563555">
        <w:rPr>
          <w:sz w:val="20"/>
          <w:szCs w:val="20"/>
        </w:rPr>
        <w:t xml:space="preserve">Examples </w:t>
      </w:r>
      <w:r w:rsidR="00A3425B" w:rsidRPr="00563555">
        <w:rPr>
          <w:sz w:val="20"/>
          <w:szCs w:val="20"/>
        </w:rPr>
        <w:t>could</w:t>
      </w:r>
      <w:r w:rsidRPr="00563555">
        <w:rPr>
          <w:sz w:val="20"/>
          <w:szCs w:val="20"/>
        </w:rPr>
        <w:t xml:space="preserve"> include, but not limited </w:t>
      </w:r>
      <w:r w:rsidR="00E85EA8" w:rsidRPr="00563555">
        <w:rPr>
          <w:sz w:val="20"/>
          <w:szCs w:val="20"/>
        </w:rPr>
        <w:t>to</w:t>
      </w:r>
      <w:r w:rsidRPr="00563555">
        <w:rPr>
          <w:sz w:val="20"/>
          <w:szCs w:val="20"/>
        </w:rPr>
        <w:t xml:space="preserve"> </w:t>
      </w:r>
      <w:r w:rsidR="00A3425B" w:rsidRPr="00563555">
        <w:rPr>
          <w:sz w:val="20"/>
          <w:szCs w:val="20"/>
        </w:rPr>
        <w:t xml:space="preserve">profile </w:t>
      </w:r>
      <w:r w:rsidRPr="00563555">
        <w:rPr>
          <w:sz w:val="20"/>
          <w:szCs w:val="20"/>
        </w:rPr>
        <w:t xml:space="preserve">questionnaires, </w:t>
      </w:r>
      <w:r w:rsidR="00A3425B" w:rsidRPr="00563555">
        <w:rPr>
          <w:sz w:val="20"/>
          <w:szCs w:val="20"/>
        </w:rPr>
        <w:t xml:space="preserve">planning </w:t>
      </w:r>
      <w:r w:rsidRPr="00563555">
        <w:rPr>
          <w:sz w:val="20"/>
          <w:szCs w:val="20"/>
        </w:rPr>
        <w:t xml:space="preserve">software, </w:t>
      </w:r>
      <w:r w:rsidR="00A3425B" w:rsidRPr="00563555">
        <w:rPr>
          <w:sz w:val="20"/>
          <w:szCs w:val="20"/>
        </w:rPr>
        <w:t xml:space="preserve">financial worksheets, </w:t>
      </w:r>
      <w:r w:rsidRPr="00563555">
        <w:rPr>
          <w:sz w:val="20"/>
          <w:szCs w:val="20"/>
        </w:rPr>
        <w:t xml:space="preserve">and </w:t>
      </w:r>
      <w:r w:rsidR="00A3425B" w:rsidRPr="00563555">
        <w:rPr>
          <w:sz w:val="20"/>
          <w:szCs w:val="20"/>
        </w:rPr>
        <w:t>ot</w:t>
      </w:r>
      <w:r w:rsidR="004A3AAF">
        <w:rPr>
          <w:sz w:val="20"/>
          <w:szCs w:val="20"/>
        </w:rPr>
        <w:t>her</w:t>
      </w:r>
      <w:r w:rsidRPr="00563555">
        <w:rPr>
          <w:sz w:val="20"/>
          <w:szCs w:val="20"/>
        </w:rPr>
        <w:t xml:space="preserve"> materials that provide a participant or beneficiary the means to estimate future retirement income needs and assess the impact of different asset allocations on retirement income.</w:t>
      </w:r>
    </w:p>
    <w:p w14:paraId="1F37A15E" w14:textId="77777777" w:rsidR="00F8150F" w:rsidRPr="00563555" w:rsidRDefault="00F8150F" w:rsidP="0026785C">
      <w:pPr>
        <w:rPr>
          <w:sz w:val="20"/>
          <w:szCs w:val="20"/>
        </w:rPr>
      </w:pPr>
    </w:p>
    <w:p w14:paraId="343655E9" w14:textId="2BA2E52D" w:rsidR="00F8150F" w:rsidRPr="00563555" w:rsidRDefault="004A1274" w:rsidP="006606C9">
      <w:pPr>
        <w:ind w:firstLine="720"/>
        <w:rPr>
          <w:sz w:val="20"/>
          <w:szCs w:val="20"/>
        </w:rPr>
      </w:pPr>
      <w:r w:rsidRPr="00563555">
        <w:rPr>
          <w:sz w:val="20"/>
          <w:szCs w:val="20"/>
        </w:rPr>
        <w:t>Approved</w:t>
      </w:r>
      <w:r w:rsidR="00F8150F" w:rsidRPr="00563555">
        <w:rPr>
          <w:sz w:val="20"/>
          <w:szCs w:val="20"/>
        </w:rPr>
        <w:t xml:space="preserve"> materials must</w:t>
      </w:r>
      <w:r w:rsidRPr="00563555">
        <w:rPr>
          <w:sz w:val="20"/>
          <w:szCs w:val="20"/>
        </w:rPr>
        <w:t xml:space="preserve"> </w:t>
      </w:r>
      <w:r w:rsidR="007A59BF" w:rsidRPr="00563555">
        <w:rPr>
          <w:sz w:val="20"/>
          <w:szCs w:val="20"/>
        </w:rPr>
        <w:t>include:</w:t>
      </w:r>
    </w:p>
    <w:p w14:paraId="18128232" w14:textId="6AE07E3D" w:rsidR="00F8150F" w:rsidRPr="00563555" w:rsidRDefault="006606C9" w:rsidP="005C4CED">
      <w:pPr>
        <w:pStyle w:val="ListParagraph"/>
        <w:numPr>
          <w:ilvl w:val="0"/>
          <w:numId w:val="6"/>
        </w:numPr>
        <w:rPr>
          <w:sz w:val="20"/>
          <w:szCs w:val="20"/>
        </w:rPr>
      </w:pPr>
      <w:r>
        <w:rPr>
          <w:sz w:val="20"/>
          <w:szCs w:val="20"/>
        </w:rPr>
        <w:t>G</w:t>
      </w:r>
      <w:r w:rsidR="00F8150F" w:rsidRPr="00563555">
        <w:rPr>
          <w:sz w:val="20"/>
          <w:szCs w:val="20"/>
        </w:rPr>
        <w:t>enera</w:t>
      </w:r>
      <w:r w:rsidR="007A59BF" w:rsidRPr="00563555">
        <w:rPr>
          <w:sz w:val="20"/>
          <w:szCs w:val="20"/>
        </w:rPr>
        <w:t>l</w:t>
      </w:r>
      <w:r w:rsidR="00F8150F" w:rsidRPr="00563555">
        <w:rPr>
          <w:sz w:val="20"/>
          <w:szCs w:val="20"/>
        </w:rPr>
        <w:t xml:space="preserve"> investment theories that take into account the historic returns of different asset classes (e.g., equities, bonds, or cash) over defined periods of time;</w:t>
      </w:r>
    </w:p>
    <w:p w14:paraId="19198618" w14:textId="6179A98D" w:rsidR="00F8150F" w:rsidRPr="00563555" w:rsidRDefault="006606C9" w:rsidP="005C4CED">
      <w:pPr>
        <w:pStyle w:val="ListParagraph"/>
        <w:numPr>
          <w:ilvl w:val="0"/>
          <w:numId w:val="6"/>
        </w:numPr>
        <w:rPr>
          <w:sz w:val="20"/>
          <w:szCs w:val="20"/>
        </w:rPr>
      </w:pPr>
      <w:r>
        <w:rPr>
          <w:sz w:val="20"/>
          <w:szCs w:val="20"/>
        </w:rPr>
        <w:t>A</w:t>
      </w:r>
      <w:r w:rsidR="00F8150F" w:rsidRPr="00563555">
        <w:rPr>
          <w:sz w:val="20"/>
          <w:szCs w:val="20"/>
        </w:rPr>
        <w:t>n objective correlation between the asset allocations generated by the materials and the information and data supplied by the participant or beneficiary;</w:t>
      </w:r>
    </w:p>
    <w:p w14:paraId="69CC4BD1" w14:textId="6F5FFE1D" w:rsidR="0083650A" w:rsidRPr="00563555" w:rsidRDefault="006606C9" w:rsidP="005C4CED">
      <w:pPr>
        <w:pStyle w:val="ListParagraph"/>
        <w:numPr>
          <w:ilvl w:val="0"/>
          <w:numId w:val="6"/>
        </w:numPr>
        <w:rPr>
          <w:sz w:val="20"/>
          <w:szCs w:val="20"/>
        </w:rPr>
      </w:pPr>
      <w:r>
        <w:rPr>
          <w:sz w:val="20"/>
          <w:szCs w:val="20"/>
        </w:rPr>
        <w:t>A</w:t>
      </w:r>
      <w:r w:rsidR="00F8150F" w:rsidRPr="00563555">
        <w:rPr>
          <w:sz w:val="20"/>
          <w:szCs w:val="20"/>
        </w:rPr>
        <w:t xml:space="preserve">ll material facts and assumptions (e.g., retirement ages, income levels, financial resources, replacement income </w:t>
      </w:r>
      <w:r w:rsidR="0083650A" w:rsidRPr="00563555">
        <w:rPr>
          <w:sz w:val="20"/>
          <w:szCs w:val="20"/>
        </w:rPr>
        <w:t>examples</w:t>
      </w:r>
      <w:r w:rsidR="00F8150F" w:rsidRPr="00563555">
        <w:rPr>
          <w:sz w:val="20"/>
          <w:szCs w:val="20"/>
        </w:rPr>
        <w:t xml:space="preserve">, </w:t>
      </w:r>
      <w:r w:rsidR="0083650A" w:rsidRPr="00563555">
        <w:rPr>
          <w:sz w:val="20"/>
          <w:szCs w:val="20"/>
        </w:rPr>
        <w:t>life expectancies, rates</w:t>
      </w:r>
      <w:r w:rsidR="00F8150F" w:rsidRPr="00563555">
        <w:rPr>
          <w:sz w:val="20"/>
          <w:szCs w:val="20"/>
        </w:rPr>
        <w:t xml:space="preserve"> that may affect a participant’s or beneficiary’s assessment of the different asset allocations</w:t>
      </w:r>
    </w:p>
    <w:p w14:paraId="61B6280B" w14:textId="547F0072" w:rsidR="00F8150F" w:rsidRPr="00563555" w:rsidRDefault="006606C9" w:rsidP="005C4CED">
      <w:pPr>
        <w:pStyle w:val="ListParagraph"/>
        <w:numPr>
          <w:ilvl w:val="0"/>
          <w:numId w:val="6"/>
        </w:numPr>
        <w:rPr>
          <w:sz w:val="20"/>
          <w:szCs w:val="20"/>
        </w:rPr>
      </w:pPr>
      <w:r>
        <w:rPr>
          <w:sz w:val="20"/>
          <w:szCs w:val="20"/>
        </w:rPr>
        <w:t>A</w:t>
      </w:r>
      <w:r w:rsidR="00F8150F" w:rsidRPr="00563555">
        <w:rPr>
          <w:sz w:val="20"/>
          <w:szCs w:val="20"/>
        </w:rPr>
        <w:t xml:space="preserve"> statement indicating other investment alternatives having similar risk and return characteristics may be available under the plan and where information on those investment alternatives may be obtained; and</w:t>
      </w:r>
    </w:p>
    <w:p w14:paraId="242B0D62" w14:textId="03356A9F" w:rsidR="00F8150F" w:rsidRPr="00563555" w:rsidRDefault="006606C9" w:rsidP="005C4CED">
      <w:pPr>
        <w:pStyle w:val="ListParagraph"/>
        <w:numPr>
          <w:ilvl w:val="0"/>
          <w:numId w:val="6"/>
        </w:numPr>
        <w:rPr>
          <w:sz w:val="20"/>
          <w:szCs w:val="20"/>
        </w:rPr>
      </w:pPr>
      <w:r>
        <w:rPr>
          <w:sz w:val="20"/>
          <w:szCs w:val="20"/>
        </w:rPr>
        <w:t>A</w:t>
      </w:r>
      <w:r w:rsidR="00F8150F" w:rsidRPr="00563555">
        <w:rPr>
          <w:sz w:val="20"/>
          <w:szCs w:val="20"/>
        </w:rPr>
        <w:t xml:space="preserve"> statement indicating that, in applying particular asset allocations to their individual situations, participants or beneficiaries should consider their other assets, income, and investments (e.g., equity in a home, IRA investments, savings accounts, and interests in other qualified and nonqualified plans) in addition to their interests in the plan.</w:t>
      </w:r>
    </w:p>
    <w:p w14:paraId="3C192D62" w14:textId="77777777" w:rsidR="00B6791A" w:rsidRPr="00563555" w:rsidRDefault="00B6791A" w:rsidP="0026785C">
      <w:pPr>
        <w:rPr>
          <w:sz w:val="20"/>
          <w:szCs w:val="20"/>
        </w:rPr>
      </w:pPr>
    </w:p>
    <w:p w14:paraId="4286BC10" w14:textId="5DB76C9C" w:rsidR="00085F6D" w:rsidRPr="00563555" w:rsidRDefault="0083650A" w:rsidP="006606C9">
      <w:pPr>
        <w:ind w:left="720"/>
        <w:rPr>
          <w:sz w:val="20"/>
          <w:szCs w:val="20"/>
        </w:rPr>
      </w:pPr>
      <w:r w:rsidRPr="00563555">
        <w:rPr>
          <w:sz w:val="20"/>
          <w:szCs w:val="20"/>
        </w:rPr>
        <w:t>Providing</w:t>
      </w:r>
      <w:r w:rsidR="00F8150F" w:rsidRPr="00563555">
        <w:rPr>
          <w:sz w:val="20"/>
          <w:szCs w:val="20"/>
        </w:rPr>
        <w:t xml:space="preserve"> education is not a fiduciary act, </w:t>
      </w:r>
      <w:r w:rsidRPr="00CC46E1">
        <w:rPr>
          <w:i/>
          <w:iCs/>
          <w:sz w:val="20"/>
          <w:szCs w:val="20"/>
        </w:rPr>
        <w:t xml:space="preserve">but </w:t>
      </w:r>
      <w:r w:rsidR="00F8150F" w:rsidRPr="00CC46E1">
        <w:rPr>
          <w:i/>
          <w:iCs/>
          <w:sz w:val="20"/>
          <w:szCs w:val="20"/>
        </w:rPr>
        <w:t xml:space="preserve">the </w:t>
      </w:r>
      <w:r w:rsidRPr="00CC46E1">
        <w:rPr>
          <w:i/>
          <w:iCs/>
          <w:sz w:val="20"/>
          <w:szCs w:val="20"/>
        </w:rPr>
        <w:t xml:space="preserve">authorization or </w:t>
      </w:r>
      <w:r w:rsidR="00F8150F" w:rsidRPr="00CC46E1">
        <w:rPr>
          <w:i/>
          <w:iCs/>
          <w:sz w:val="20"/>
          <w:szCs w:val="20"/>
        </w:rPr>
        <w:t>designation to provide investment educational services to plan participants and beneficiaries is a fiduciary act.</w:t>
      </w:r>
      <w:r w:rsidR="00F8150F" w:rsidRPr="00563555">
        <w:rPr>
          <w:sz w:val="20"/>
          <w:szCs w:val="20"/>
        </w:rPr>
        <w:t xml:space="preserve"> Therefore, persons making this designation must act prudently and solely in the interest of the plan participants and beneficiaries.</w:t>
      </w:r>
    </w:p>
    <w:p w14:paraId="1E3AE5BB" w14:textId="77777777" w:rsidR="00085F6D" w:rsidRPr="00563555" w:rsidRDefault="00085F6D" w:rsidP="0026785C">
      <w:pPr>
        <w:rPr>
          <w:sz w:val="20"/>
          <w:szCs w:val="20"/>
        </w:rPr>
      </w:pPr>
    </w:p>
    <w:p w14:paraId="0059D1F3" w14:textId="10380115" w:rsidR="00EF57A5" w:rsidRPr="00271FEE" w:rsidRDefault="00085F6D" w:rsidP="00271FEE">
      <w:pPr>
        <w:pStyle w:val="Heading2"/>
      </w:pPr>
      <w:r w:rsidRPr="00563555">
        <w:t>SUPERVISORY OVERSIGHT</w:t>
      </w:r>
    </w:p>
    <w:p w14:paraId="00B0F056" w14:textId="170358ED" w:rsidR="00B6791A" w:rsidRPr="00563555" w:rsidRDefault="00EA3C45" w:rsidP="0026785C">
      <w:pPr>
        <w:rPr>
          <w:b/>
          <w:bCs/>
          <w:sz w:val="20"/>
          <w:szCs w:val="20"/>
        </w:rPr>
      </w:pPr>
      <w:r w:rsidRPr="00563555">
        <w:rPr>
          <w:sz w:val="20"/>
          <w:szCs w:val="20"/>
        </w:rPr>
        <w:t>The IAR will be required to obtain a client attestation that the IAR only provided “investment education</w:t>
      </w:r>
      <w:r w:rsidR="00667CDF">
        <w:rPr>
          <w:sz w:val="20"/>
          <w:szCs w:val="20"/>
        </w:rPr>
        <w:t>”</w:t>
      </w:r>
      <w:r w:rsidRPr="00563555">
        <w:rPr>
          <w:sz w:val="20"/>
          <w:szCs w:val="20"/>
        </w:rPr>
        <w:t xml:space="preserve"> regarding the rollover and </w:t>
      </w:r>
      <w:r w:rsidR="00E70E6C" w:rsidRPr="00563555">
        <w:rPr>
          <w:sz w:val="20"/>
          <w:szCs w:val="20"/>
        </w:rPr>
        <w:t xml:space="preserve">is </w:t>
      </w:r>
      <w:r w:rsidRPr="00563555">
        <w:rPr>
          <w:sz w:val="20"/>
          <w:szCs w:val="20"/>
        </w:rPr>
        <w:t>required to submit</w:t>
      </w:r>
      <w:r w:rsidR="00E70E6C" w:rsidRPr="00563555">
        <w:rPr>
          <w:sz w:val="20"/>
          <w:szCs w:val="20"/>
        </w:rPr>
        <w:t xml:space="preserve"> </w:t>
      </w:r>
      <w:r w:rsidR="000353E0" w:rsidRPr="00563555">
        <w:rPr>
          <w:sz w:val="20"/>
          <w:szCs w:val="20"/>
        </w:rPr>
        <w:t>educational materials and a</w:t>
      </w:r>
      <w:r w:rsidRPr="00563555">
        <w:rPr>
          <w:sz w:val="20"/>
          <w:szCs w:val="20"/>
        </w:rPr>
        <w:t xml:space="preserve"> client signed </w:t>
      </w:r>
      <w:r w:rsidR="00E70E6C" w:rsidRPr="00563555">
        <w:rPr>
          <w:sz w:val="20"/>
          <w:szCs w:val="20"/>
        </w:rPr>
        <w:t>attestation</w:t>
      </w:r>
      <w:r w:rsidRPr="00563555">
        <w:rPr>
          <w:sz w:val="20"/>
          <w:szCs w:val="20"/>
        </w:rPr>
        <w:t xml:space="preserve"> to Compliance</w:t>
      </w:r>
      <w:r w:rsidR="00E70E6C" w:rsidRPr="00563555">
        <w:rPr>
          <w:sz w:val="20"/>
          <w:szCs w:val="20"/>
        </w:rPr>
        <w:t xml:space="preserve"> for review</w:t>
      </w:r>
      <w:r w:rsidRPr="00563555">
        <w:rPr>
          <w:sz w:val="20"/>
          <w:szCs w:val="20"/>
        </w:rPr>
        <w:t>.</w:t>
      </w:r>
      <w:r w:rsidRPr="00563555">
        <w:rPr>
          <w:b/>
          <w:bCs/>
          <w:sz w:val="20"/>
          <w:szCs w:val="20"/>
        </w:rPr>
        <w:t xml:space="preserve"> </w:t>
      </w:r>
      <w:r w:rsidR="00F77FAF">
        <w:rPr>
          <w:b/>
          <w:bCs/>
          <w:sz w:val="20"/>
          <w:szCs w:val="20"/>
        </w:rPr>
        <w:t xml:space="preserve">  </w:t>
      </w:r>
      <w:r w:rsidR="00F77FAF" w:rsidRPr="00A96DCD">
        <w:rPr>
          <w:b/>
          <w:bCs/>
          <w:sz w:val="20"/>
          <w:szCs w:val="20"/>
          <w:highlight w:val="yellow"/>
        </w:rPr>
        <w:t xml:space="preserve">Please </w:t>
      </w:r>
      <w:r w:rsidR="0065058D">
        <w:rPr>
          <w:b/>
          <w:bCs/>
          <w:sz w:val="20"/>
          <w:szCs w:val="20"/>
          <w:highlight w:val="yellow"/>
        </w:rPr>
        <w:t>refer to</w:t>
      </w:r>
      <w:r w:rsidR="00FD7710">
        <w:rPr>
          <w:b/>
          <w:bCs/>
          <w:sz w:val="20"/>
          <w:szCs w:val="20"/>
          <w:highlight w:val="yellow"/>
        </w:rPr>
        <w:t xml:space="preserve">: </w:t>
      </w:r>
      <w:r w:rsidR="00F77FAF" w:rsidRPr="00A96DCD">
        <w:rPr>
          <w:b/>
          <w:bCs/>
          <w:sz w:val="20"/>
          <w:szCs w:val="20"/>
          <w:highlight w:val="yellow"/>
        </w:rPr>
        <w:t xml:space="preserve"> </w:t>
      </w:r>
      <w:r w:rsidR="004C1411" w:rsidRPr="00A96DCD">
        <w:rPr>
          <w:b/>
          <w:bCs/>
          <w:sz w:val="20"/>
          <w:szCs w:val="20"/>
          <w:highlight w:val="yellow"/>
        </w:rPr>
        <w:t>Education - Review of Client Consideration Attestation</w:t>
      </w:r>
      <w:r w:rsidR="00F77FAF" w:rsidRPr="00A96DCD">
        <w:rPr>
          <w:b/>
          <w:bCs/>
          <w:sz w:val="20"/>
          <w:szCs w:val="20"/>
          <w:highlight w:val="yellow"/>
        </w:rPr>
        <w:t xml:space="preserve"> form.</w:t>
      </w:r>
    </w:p>
    <w:p w14:paraId="116157AC" w14:textId="77777777" w:rsidR="00556437" w:rsidRDefault="00556437" w:rsidP="0026785C">
      <w:pPr>
        <w:rPr>
          <w:b/>
          <w:bCs/>
          <w:sz w:val="20"/>
          <w:szCs w:val="20"/>
        </w:rPr>
      </w:pPr>
    </w:p>
    <w:p w14:paraId="233D2508" w14:textId="77777777" w:rsidR="00F13F8B" w:rsidRDefault="00F13F8B" w:rsidP="0026785C">
      <w:pPr>
        <w:rPr>
          <w:b/>
          <w:bCs/>
          <w:sz w:val="20"/>
          <w:szCs w:val="20"/>
        </w:rPr>
      </w:pPr>
    </w:p>
    <w:p w14:paraId="5BCBB55E" w14:textId="4706D45C" w:rsidR="00E1225B" w:rsidRPr="00935156" w:rsidRDefault="00E1225B" w:rsidP="00E1225B">
      <w:pPr>
        <w:pStyle w:val="Heading2"/>
      </w:pPr>
      <w:r w:rsidRPr="00E1225B">
        <w:t>UNSOLICITED ROLLOVER TRANSACTION</w:t>
      </w:r>
      <w:r w:rsidR="00D12BBB">
        <w:t>S</w:t>
      </w:r>
    </w:p>
    <w:p w14:paraId="30F9C2D2" w14:textId="77777777" w:rsidR="00E1225B" w:rsidRPr="00563555" w:rsidRDefault="00E1225B" w:rsidP="00E1225B">
      <w:pPr>
        <w:rPr>
          <w:sz w:val="20"/>
          <w:szCs w:val="20"/>
        </w:rPr>
      </w:pPr>
      <w:r w:rsidRPr="00563555">
        <w:rPr>
          <w:sz w:val="20"/>
          <w:szCs w:val="20"/>
        </w:rPr>
        <w:t>Firms may obtain plan assets from a qualified plan or an IRA transfer, on an unsolicited basis with the intent to be managed, and where the client independently decided to rollover the assets.</w:t>
      </w:r>
    </w:p>
    <w:p w14:paraId="78B3CCCD" w14:textId="77777777" w:rsidR="00E1225B" w:rsidRPr="00563555" w:rsidRDefault="00E1225B" w:rsidP="00E1225B">
      <w:pPr>
        <w:rPr>
          <w:sz w:val="20"/>
          <w:szCs w:val="20"/>
        </w:rPr>
      </w:pPr>
    </w:p>
    <w:p w14:paraId="605B7C74" w14:textId="77777777" w:rsidR="0065058D" w:rsidRPr="00F77FAF" w:rsidRDefault="0065058D" w:rsidP="0065058D">
      <w:pPr>
        <w:pStyle w:val="Heading2"/>
      </w:pPr>
      <w:r w:rsidRPr="00563555">
        <w:t>SUPERVISORY OVERSIGHT</w:t>
      </w:r>
      <w:r>
        <w:t xml:space="preserve"> ON UNSOLICITED ROLLOVERS</w:t>
      </w:r>
    </w:p>
    <w:p w14:paraId="17886107" w14:textId="77777777" w:rsidR="006B7001" w:rsidRDefault="006B7001" w:rsidP="006B7001">
      <w:pPr>
        <w:rPr>
          <w:b/>
          <w:bCs/>
          <w:sz w:val="20"/>
          <w:szCs w:val="20"/>
        </w:rPr>
      </w:pPr>
      <w:r w:rsidRPr="00563555">
        <w:rPr>
          <w:sz w:val="20"/>
          <w:szCs w:val="20"/>
        </w:rPr>
        <w:t>IAR</w:t>
      </w:r>
      <w:r>
        <w:rPr>
          <w:sz w:val="20"/>
          <w:szCs w:val="20"/>
        </w:rPr>
        <w:t>’s</w:t>
      </w:r>
      <w:r w:rsidRPr="00563555">
        <w:rPr>
          <w:sz w:val="20"/>
          <w:szCs w:val="20"/>
        </w:rPr>
        <w:t xml:space="preserve"> will be required to obtain a client</w:t>
      </w:r>
      <w:r>
        <w:rPr>
          <w:sz w:val="20"/>
          <w:szCs w:val="20"/>
        </w:rPr>
        <w:t>’s</w:t>
      </w:r>
      <w:r w:rsidRPr="00563555">
        <w:rPr>
          <w:sz w:val="20"/>
          <w:szCs w:val="20"/>
        </w:rPr>
        <w:t xml:space="preserve"> attestation that the IAR did not provide “investment advice</w:t>
      </w:r>
      <w:r>
        <w:rPr>
          <w:sz w:val="20"/>
          <w:szCs w:val="20"/>
        </w:rPr>
        <w:t xml:space="preserve"> or recommendations” </w:t>
      </w:r>
      <w:r w:rsidRPr="00563555">
        <w:rPr>
          <w:sz w:val="20"/>
          <w:szCs w:val="20"/>
        </w:rPr>
        <w:t xml:space="preserve">regarding the </w:t>
      </w:r>
      <w:r>
        <w:rPr>
          <w:sz w:val="20"/>
          <w:szCs w:val="20"/>
        </w:rPr>
        <w:t xml:space="preserve">plan </w:t>
      </w:r>
      <w:r w:rsidRPr="00563555">
        <w:rPr>
          <w:sz w:val="20"/>
          <w:szCs w:val="20"/>
        </w:rPr>
        <w:t xml:space="preserve">rollover </w:t>
      </w:r>
      <w:r>
        <w:rPr>
          <w:sz w:val="20"/>
          <w:szCs w:val="20"/>
        </w:rPr>
        <w:t>or IRA transfer.  IAR’s are</w:t>
      </w:r>
      <w:r w:rsidRPr="00563555">
        <w:rPr>
          <w:sz w:val="20"/>
          <w:szCs w:val="20"/>
        </w:rPr>
        <w:t xml:space="preserve"> required to submit client signed documentation to Compliance for review.</w:t>
      </w:r>
      <w:r w:rsidRPr="00563555">
        <w:rPr>
          <w:b/>
          <w:bCs/>
          <w:sz w:val="20"/>
          <w:szCs w:val="20"/>
        </w:rPr>
        <w:t xml:space="preserve"> </w:t>
      </w:r>
    </w:p>
    <w:p w14:paraId="65FF08B5" w14:textId="06DC45E3" w:rsidR="006B7001" w:rsidRDefault="006B7001" w:rsidP="006B7001">
      <w:pPr>
        <w:rPr>
          <w:b/>
          <w:bCs/>
          <w:sz w:val="20"/>
          <w:szCs w:val="20"/>
        </w:rPr>
      </w:pPr>
      <w:r w:rsidRPr="00A96DCD">
        <w:rPr>
          <w:b/>
          <w:bCs/>
          <w:sz w:val="20"/>
          <w:szCs w:val="20"/>
          <w:highlight w:val="yellow"/>
        </w:rPr>
        <w:t xml:space="preserve">Please </w:t>
      </w:r>
      <w:r w:rsidR="0065058D">
        <w:rPr>
          <w:b/>
          <w:bCs/>
          <w:sz w:val="20"/>
          <w:szCs w:val="20"/>
          <w:highlight w:val="yellow"/>
        </w:rPr>
        <w:t>refer to</w:t>
      </w:r>
      <w:r w:rsidR="00FD7710">
        <w:rPr>
          <w:b/>
          <w:bCs/>
          <w:sz w:val="20"/>
          <w:szCs w:val="20"/>
          <w:highlight w:val="yellow"/>
        </w:rPr>
        <w:t xml:space="preserve">: </w:t>
      </w:r>
      <w:r w:rsidRPr="00A96DCD">
        <w:rPr>
          <w:b/>
          <w:bCs/>
          <w:sz w:val="20"/>
          <w:szCs w:val="20"/>
          <w:highlight w:val="yellow"/>
        </w:rPr>
        <w:t xml:space="preserve"> </w:t>
      </w:r>
      <w:r>
        <w:rPr>
          <w:b/>
          <w:bCs/>
          <w:sz w:val="20"/>
          <w:szCs w:val="20"/>
          <w:highlight w:val="yellow"/>
        </w:rPr>
        <w:t>Unsolicited Transactions</w:t>
      </w:r>
      <w:r w:rsidRPr="00A96DCD">
        <w:rPr>
          <w:b/>
          <w:bCs/>
          <w:sz w:val="20"/>
          <w:szCs w:val="20"/>
          <w:highlight w:val="yellow"/>
        </w:rPr>
        <w:t xml:space="preserve"> - </w:t>
      </w:r>
      <w:r>
        <w:rPr>
          <w:b/>
          <w:bCs/>
          <w:sz w:val="20"/>
          <w:szCs w:val="20"/>
          <w:highlight w:val="yellow"/>
        </w:rPr>
        <w:t>Client</w:t>
      </w:r>
      <w:r w:rsidRPr="00A96DCD">
        <w:rPr>
          <w:b/>
          <w:bCs/>
          <w:sz w:val="20"/>
          <w:szCs w:val="20"/>
          <w:highlight w:val="yellow"/>
        </w:rPr>
        <w:t xml:space="preserve"> Attestation form.</w:t>
      </w:r>
    </w:p>
    <w:p w14:paraId="4E5A1F36" w14:textId="77777777" w:rsidR="005D1E95" w:rsidRPr="00563555" w:rsidRDefault="005D1E95" w:rsidP="0026785C">
      <w:pPr>
        <w:rPr>
          <w:b/>
          <w:sz w:val="20"/>
          <w:szCs w:val="20"/>
        </w:rPr>
      </w:pPr>
    </w:p>
    <w:p w14:paraId="6A5895F2" w14:textId="77777777" w:rsidR="005D1E95" w:rsidRDefault="005D1E95" w:rsidP="0026785C">
      <w:pPr>
        <w:rPr>
          <w:sz w:val="20"/>
          <w:szCs w:val="20"/>
        </w:rPr>
      </w:pPr>
    </w:p>
    <w:p w14:paraId="7C671CA7" w14:textId="77777777" w:rsidR="00F77FAF" w:rsidRDefault="00F77FAF" w:rsidP="0026785C">
      <w:pPr>
        <w:rPr>
          <w:sz w:val="20"/>
          <w:szCs w:val="20"/>
        </w:rPr>
      </w:pPr>
    </w:p>
    <w:p w14:paraId="25F1346B" w14:textId="77777777" w:rsidR="00923202" w:rsidRPr="00563555" w:rsidRDefault="00923202" w:rsidP="0026785C">
      <w:pPr>
        <w:rPr>
          <w:sz w:val="20"/>
          <w:szCs w:val="20"/>
        </w:rPr>
      </w:pPr>
    </w:p>
    <w:sectPr w:rsidR="00923202" w:rsidRPr="00563555" w:rsidSect="00A96CE7">
      <w:pgSz w:w="12240" w:h="15840"/>
      <w:pgMar w:top="468"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830"/>
    <w:multiLevelType w:val="hybridMultilevel"/>
    <w:tmpl w:val="7ACC59B2"/>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825BB2"/>
    <w:multiLevelType w:val="hybridMultilevel"/>
    <w:tmpl w:val="9EB2B790"/>
    <w:lvl w:ilvl="0" w:tplc="8B047D14">
      <w:start w:val="1"/>
      <w:numFmt w:val="bullet"/>
      <w:lvlText w:val=""/>
      <w:lvlJc w:val="left"/>
      <w:rPr>
        <w:rFonts w:ascii="Wingdings" w:hAnsi="Wingdings" w:hint="default"/>
        <w:color w:val="C0000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75027D"/>
    <w:multiLevelType w:val="hybridMultilevel"/>
    <w:tmpl w:val="4BF21B62"/>
    <w:lvl w:ilvl="0" w:tplc="04090001">
      <w:start w:val="1"/>
      <w:numFmt w:val="bullet"/>
      <w:lvlText w:val=""/>
      <w:lvlJc w:val="left"/>
      <w:pPr>
        <w:ind w:left="14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DC648F"/>
    <w:multiLevelType w:val="multilevel"/>
    <w:tmpl w:val="2A1C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56B1C"/>
    <w:multiLevelType w:val="hybridMultilevel"/>
    <w:tmpl w:val="C670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151CCA"/>
    <w:multiLevelType w:val="hybridMultilevel"/>
    <w:tmpl w:val="6350758C"/>
    <w:lvl w:ilvl="0" w:tplc="04090001">
      <w:start w:val="1"/>
      <w:numFmt w:val="bullet"/>
      <w:lvlText w:val=""/>
      <w:lvlJc w:val="left"/>
      <w:pPr>
        <w:ind w:left="1440" w:hanging="360"/>
      </w:pPr>
      <w:rPr>
        <w:rFonts w:ascii="Symbol" w:hAnsi="Symbol" w:hint="default"/>
        <w:w w:val="100"/>
        <w:sz w:val="22"/>
        <w:szCs w:val="22"/>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287FBE"/>
    <w:multiLevelType w:val="hybridMultilevel"/>
    <w:tmpl w:val="C4C2F94C"/>
    <w:lvl w:ilvl="0" w:tplc="6AC09E7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13683"/>
    <w:multiLevelType w:val="hybridMultilevel"/>
    <w:tmpl w:val="0248D4F0"/>
    <w:lvl w:ilvl="0" w:tplc="6AC09E7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A25DA0"/>
    <w:multiLevelType w:val="hybridMultilevel"/>
    <w:tmpl w:val="3AA4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4F499B"/>
    <w:multiLevelType w:val="hybridMultilevel"/>
    <w:tmpl w:val="139EFE9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7DD2C25"/>
    <w:multiLevelType w:val="hybridMultilevel"/>
    <w:tmpl w:val="A2E604D8"/>
    <w:lvl w:ilvl="0" w:tplc="6AC09E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E42050"/>
    <w:multiLevelType w:val="hybridMultilevel"/>
    <w:tmpl w:val="88FA5944"/>
    <w:lvl w:ilvl="0" w:tplc="FCD6341E">
      <w:start w:val="1"/>
      <w:numFmt w:val="bullet"/>
      <w:lvlText w:val="o"/>
      <w:lvlJc w:val="left"/>
      <w:pPr>
        <w:ind w:left="1080" w:hanging="360"/>
      </w:pPr>
      <w:rPr>
        <w:rFonts w:ascii="Wingdings" w:hAnsi="Wingdings" w:hint="default"/>
        <w:color w:val="auto"/>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55335537"/>
    <w:multiLevelType w:val="hybridMultilevel"/>
    <w:tmpl w:val="C9EE33C2"/>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6FC56F6"/>
    <w:multiLevelType w:val="hybridMultilevel"/>
    <w:tmpl w:val="2CFE97AE"/>
    <w:lvl w:ilvl="0" w:tplc="A526197E">
      <w:numFmt w:val="bullet"/>
      <w:lvlText w:val="o"/>
      <w:lvlJc w:val="left"/>
      <w:pPr>
        <w:ind w:left="1440" w:hanging="360"/>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4705D3"/>
    <w:multiLevelType w:val="hybridMultilevel"/>
    <w:tmpl w:val="FDA2CCD8"/>
    <w:lvl w:ilvl="0" w:tplc="35C8A9EA">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019BB"/>
    <w:multiLevelType w:val="hybridMultilevel"/>
    <w:tmpl w:val="EBBAF304"/>
    <w:lvl w:ilvl="0" w:tplc="6CD253F8">
      <w:start w:val="1"/>
      <w:numFmt w:val="bullet"/>
      <w:lvlText w:val="o"/>
      <w:lvlJc w:val="left"/>
      <w:pPr>
        <w:ind w:left="1080" w:hanging="360"/>
      </w:pPr>
      <w:rPr>
        <w:rFonts w:ascii="Wingdings" w:hAnsi="Wingdings" w:hint="default"/>
        <w:color w:val="000000" w:themeColor="text1"/>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5D792B27"/>
    <w:multiLevelType w:val="hybridMultilevel"/>
    <w:tmpl w:val="5A8295B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826CC7"/>
    <w:multiLevelType w:val="hybridMultilevel"/>
    <w:tmpl w:val="CDD64062"/>
    <w:lvl w:ilvl="0" w:tplc="FFFFFFFF">
      <w:start w:val="1"/>
      <w:numFmt w:val="decimal"/>
      <w:lvlText w:val="%1."/>
      <w:lvlJc w:val="left"/>
      <w:pPr>
        <w:ind w:left="1440" w:hanging="360"/>
      </w:pPr>
      <w:rPr>
        <w:rFonts w:hint="default"/>
        <w:color w:val="auto"/>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97E5E8B"/>
    <w:multiLevelType w:val="hybridMultilevel"/>
    <w:tmpl w:val="935A5E8E"/>
    <w:lvl w:ilvl="0" w:tplc="04090001">
      <w:start w:val="1"/>
      <w:numFmt w:val="bullet"/>
      <w:lvlText w:val=""/>
      <w:lvlJc w:val="left"/>
      <w:pPr>
        <w:ind w:left="1485" w:hanging="360"/>
      </w:pPr>
      <w:rPr>
        <w:rFonts w:ascii="Symbol" w:hAnsi="Symbol" w:hint="default"/>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19" w15:restartNumberingAfterBreak="0">
    <w:nsid w:val="6D953B99"/>
    <w:multiLevelType w:val="hybridMultilevel"/>
    <w:tmpl w:val="35A67E08"/>
    <w:lvl w:ilvl="0" w:tplc="FCD6341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D2A51"/>
    <w:multiLevelType w:val="hybridMultilevel"/>
    <w:tmpl w:val="6242D1D4"/>
    <w:lvl w:ilvl="0" w:tplc="6AC09E78">
      <w:start w:val="1"/>
      <w:numFmt w:val="decimal"/>
      <w:lvlText w:val="%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2BA2803"/>
    <w:multiLevelType w:val="hybridMultilevel"/>
    <w:tmpl w:val="73D0593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3EB43BD"/>
    <w:multiLevelType w:val="hybridMultilevel"/>
    <w:tmpl w:val="BC64E8A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7072C89"/>
    <w:multiLevelType w:val="hybridMultilevel"/>
    <w:tmpl w:val="774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D6FB2"/>
    <w:multiLevelType w:val="hybridMultilevel"/>
    <w:tmpl w:val="B784B7B4"/>
    <w:lvl w:ilvl="0" w:tplc="04090001">
      <w:start w:val="1"/>
      <w:numFmt w:val="bullet"/>
      <w:lvlText w:val=""/>
      <w:lvlJc w:val="left"/>
      <w:pPr>
        <w:ind w:left="1485" w:hanging="360"/>
      </w:pPr>
      <w:rPr>
        <w:rFonts w:ascii="Symbol" w:hAnsi="Symbol" w:hint="default"/>
        <w:w w:val="100"/>
        <w:sz w:val="22"/>
        <w:szCs w:val="22"/>
        <w:lang w:val="en-US" w:eastAsia="en-US" w:bidi="en-US"/>
      </w:rPr>
    </w:lvl>
    <w:lvl w:ilvl="1" w:tplc="FFFFFFFF">
      <w:start w:val="1"/>
      <w:numFmt w:val="bullet"/>
      <w:lvlText w:val="o"/>
      <w:lvlJc w:val="left"/>
      <w:pPr>
        <w:ind w:left="675" w:hanging="360"/>
      </w:pPr>
      <w:rPr>
        <w:rFonts w:ascii="Courier New" w:hAnsi="Courier New" w:cs="Courier New" w:hint="default"/>
      </w:rPr>
    </w:lvl>
    <w:lvl w:ilvl="2" w:tplc="FFFFFFFF" w:tentative="1">
      <w:start w:val="1"/>
      <w:numFmt w:val="bullet"/>
      <w:lvlText w:val=""/>
      <w:lvlJc w:val="left"/>
      <w:pPr>
        <w:ind w:left="1395" w:hanging="360"/>
      </w:pPr>
      <w:rPr>
        <w:rFonts w:ascii="Wingdings" w:hAnsi="Wingdings" w:hint="default"/>
      </w:rPr>
    </w:lvl>
    <w:lvl w:ilvl="3" w:tplc="FFFFFFFF" w:tentative="1">
      <w:start w:val="1"/>
      <w:numFmt w:val="bullet"/>
      <w:lvlText w:val=""/>
      <w:lvlJc w:val="left"/>
      <w:pPr>
        <w:ind w:left="2115" w:hanging="360"/>
      </w:pPr>
      <w:rPr>
        <w:rFonts w:ascii="Symbol" w:hAnsi="Symbol" w:hint="default"/>
      </w:rPr>
    </w:lvl>
    <w:lvl w:ilvl="4" w:tplc="FFFFFFFF" w:tentative="1">
      <w:start w:val="1"/>
      <w:numFmt w:val="bullet"/>
      <w:lvlText w:val="o"/>
      <w:lvlJc w:val="left"/>
      <w:pPr>
        <w:ind w:left="2835" w:hanging="360"/>
      </w:pPr>
      <w:rPr>
        <w:rFonts w:ascii="Courier New" w:hAnsi="Courier New" w:cs="Courier New" w:hint="default"/>
      </w:rPr>
    </w:lvl>
    <w:lvl w:ilvl="5" w:tplc="FFFFFFFF" w:tentative="1">
      <w:start w:val="1"/>
      <w:numFmt w:val="bullet"/>
      <w:lvlText w:val=""/>
      <w:lvlJc w:val="left"/>
      <w:pPr>
        <w:ind w:left="3555" w:hanging="360"/>
      </w:pPr>
      <w:rPr>
        <w:rFonts w:ascii="Wingdings" w:hAnsi="Wingdings" w:hint="default"/>
      </w:rPr>
    </w:lvl>
    <w:lvl w:ilvl="6" w:tplc="FFFFFFFF" w:tentative="1">
      <w:start w:val="1"/>
      <w:numFmt w:val="bullet"/>
      <w:lvlText w:val=""/>
      <w:lvlJc w:val="left"/>
      <w:pPr>
        <w:ind w:left="4275" w:hanging="360"/>
      </w:pPr>
      <w:rPr>
        <w:rFonts w:ascii="Symbol" w:hAnsi="Symbol" w:hint="default"/>
      </w:rPr>
    </w:lvl>
    <w:lvl w:ilvl="7" w:tplc="FFFFFFFF" w:tentative="1">
      <w:start w:val="1"/>
      <w:numFmt w:val="bullet"/>
      <w:lvlText w:val="o"/>
      <w:lvlJc w:val="left"/>
      <w:pPr>
        <w:ind w:left="4995" w:hanging="360"/>
      </w:pPr>
      <w:rPr>
        <w:rFonts w:ascii="Courier New" w:hAnsi="Courier New" w:cs="Courier New" w:hint="default"/>
      </w:rPr>
    </w:lvl>
    <w:lvl w:ilvl="8" w:tplc="FFFFFFFF" w:tentative="1">
      <w:start w:val="1"/>
      <w:numFmt w:val="bullet"/>
      <w:lvlText w:val=""/>
      <w:lvlJc w:val="left"/>
      <w:pPr>
        <w:ind w:left="5715" w:hanging="360"/>
      </w:pPr>
      <w:rPr>
        <w:rFonts w:ascii="Wingdings" w:hAnsi="Wingdings" w:hint="default"/>
      </w:rPr>
    </w:lvl>
  </w:abstractNum>
  <w:abstractNum w:abstractNumId="25" w15:restartNumberingAfterBreak="0">
    <w:nsid w:val="7E154DEE"/>
    <w:multiLevelType w:val="hybridMultilevel"/>
    <w:tmpl w:val="CD26B998"/>
    <w:lvl w:ilvl="0" w:tplc="6AC09E78">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22"/>
  </w:num>
  <w:num w:numId="4">
    <w:abstractNumId w:val="7"/>
  </w:num>
  <w:num w:numId="5">
    <w:abstractNumId w:val="25"/>
  </w:num>
  <w:num w:numId="6">
    <w:abstractNumId w:val="20"/>
  </w:num>
  <w:num w:numId="7">
    <w:abstractNumId w:val="6"/>
  </w:num>
  <w:num w:numId="8">
    <w:abstractNumId w:val="17"/>
  </w:num>
  <w:num w:numId="9">
    <w:abstractNumId w:val="14"/>
  </w:num>
  <w:num w:numId="10">
    <w:abstractNumId w:val="1"/>
  </w:num>
  <w:num w:numId="11">
    <w:abstractNumId w:val="10"/>
  </w:num>
  <w:num w:numId="12">
    <w:abstractNumId w:val="19"/>
  </w:num>
  <w:num w:numId="13">
    <w:abstractNumId w:val="11"/>
  </w:num>
  <w:num w:numId="14">
    <w:abstractNumId w:val="18"/>
  </w:num>
  <w:num w:numId="15">
    <w:abstractNumId w:val="15"/>
  </w:num>
  <w:num w:numId="16">
    <w:abstractNumId w:val="2"/>
  </w:num>
  <w:num w:numId="17">
    <w:abstractNumId w:val="24"/>
  </w:num>
  <w:num w:numId="18">
    <w:abstractNumId w:val="16"/>
  </w:num>
  <w:num w:numId="19">
    <w:abstractNumId w:val="9"/>
  </w:num>
  <w:num w:numId="20">
    <w:abstractNumId w:val="21"/>
  </w:num>
  <w:num w:numId="21">
    <w:abstractNumId w:val="0"/>
  </w:num>
  <w:num w:numId="22">
    <w:abstractNumId w:val="12"/>
  </w:num>
  <w:num w:numId="23">
    <w:abstractNumId w:val="4"/>
  </w:num>
  <w:num w:numId="24">
    <w:abstractNumId w:val="8"/>
  </w:num>
  <w:num w:numId="25">
    <w:abstractNumId w:val="23"/>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24"/>
    <w:rsid w:val="00000372"/>
    <w:rsid w:val="00002121"/>
    <w:rsid w:val="00002365"/>
    <w:rsid w:val="00007933"/>
    <w:rsid w:val="00023635"/>
    <w:rsid w:val="00024075"/>
    <w:rsid w:val="00032FFC"/>
    <w:rsid w:val="0003451F"/>
    <w:rsid w:val="000353E0"/>
    <w:rsid w:val="00040197"/>
    <w:rsid w:val="0004269D"/>
    <w:rsid w:val="00047BC6"/>
    <w:rsid w:val="000536AB"/>
    <w:rsid w:val="00055FF1"/>
    <w:rsid w:val="0007402F"/>
    <w:rsid w:val="00076FA6"/>
    <w:rsid w:val="00085F6D"/>
    <w:rsid w:val="00094BD1"/>
    <w:rsid w:val="000A0B65"/>
    <w:rsid w:val="000A10F2"/>
    <w:rsid w:val="000A1946"/>
    <w:rsid w:val="000A1F70"/>
    <w:rsid w:val="000D5B83"/>
    <w:rsid w:val="000E5DE2"/>
    <w:rsid w:val="000F5079"/>
    <w:rsid w:val="0010050F"/>
    <w:rsid w:val="00102233"/>
    <w:rsid w:val="001031B1"/>
    <w:rsid w:val="0012761B"/>
    <w:rsid w:val="00132E48"/>
    <w:rsid w:val="00141203"/>
    <w:rsid w:val="00142DB8"/>
    <w:rsid w:val="00145A19"/>
    <w:rsid w:val="00151A95"/>
    <w:rsid w:val="00152201"/>
    <w:rsid w:val="00153924"/>
    <w:rsid w:val="0016052A"/>
    <w:rsid w:val="001611DD"/>
    <w:rsid w:val="001619C3"/>
    <w:rsid w:val="001677BC"/>
    <w:rsid w:val="001737FE"/>
    <w:rsid w:val="001868D5"/>
    <w:rsid w:val="00187E71"/>
    <w:rsid w:val="00192A7C"/>
    <w:rsid w:val="00194EC5"/>
    <w:rsid w:val="001C2F12"/>
    <w:rsid w:val="001C64D3"/>
    <w:rsid w:val="001D0331"/>
    <w:rsid w:val="001D4BE6"/>
    <w:rsid w:val="001E2956"/>
    <w:rsid w:val="00214088"/>
    <w:rsid w:val="00221D17"/>
    <w:rsid w:val="002248AA"/>
    <w:rsid w:val="00224C79"/>
    <w:rsid w:val="00235721"/>
    <w:rsid w:val="002357A4"/>
    <w:rsid w:val="00251374"/>
    <w:rsid w:val="00251C53"/>
    <w:rsid w:val="00253F80"/>
    <w:rsid w:val="00256B33"/>
    <w:rsid w:val="00262E0D"/>
    <w:rsid w:val="00263ED7"/>
    <w:rsid w:val="002667B4"/>
    <w:rsid w:val="0026785C"/>
    <w:rsid w:val="00271FEE"/>
    <w:rsid w:val="00281D11"/>
    <w:rsid w:val="002B7CF0"/>
    <w:rsid w:val="002C2305"/>
    <w:rsid w:val="002C3916"/>
    <w:rsid w:val="002D1F71"/>
    <w:rsid w:val="002D3341"/>
    <w:rsid w:val="002D3F1E"/>
    <w:rsid w:val="002D3FEE"/>
    <w:rsid w:val="002D4F6C"/>
    <w:rsid w:val="002E072B"/>
    <w:rsid w:val="002E2D95"/>
    <w:rsid w:val="002E774F"/>
    <w:rsid w:val="00300F4E"/>
    <w:rsid w:val="003025B7"/>
    <w:rsid w:val="00312236"/>
    <w:rsid w:val="003218E3"/>
    <w:rsid w:val="003310ED"/>
    <w:rsid w:val="00331D3E"/>
    <w:rsid w:val="00332E8A"/>
    <w:rsid w:val="00333938"/>
    <w:rsid w:val="0033504A"/>
    <w:rsid w:val="0033680F"/>
    <w:rsid w:val="00352B5B"/>
    <w:rsid w:val="003548DA"/>
    <w:rsid w:val="00362C73"/>
    <w:rsid w:val="00367C36"/>
    <w:rsid w:val="00367C63"/>
    <w:rsid w:val="00371C71"/>
    <w:rsid w:val="003778C3"/>
    <w:rsid w:val="003813B6"/>
    <w:rsid w:val="00384B73"/>
    <w:rsid w:val="003968C4"/>
    <w:rsid w:val="003A12A5"/>
    <w:rsid w:val="003A29AA"/>
    <w:rsid w:val="003A2B09"/>
    <w:rsid w:val="003A50EC"/>
    <w:rsid w:val="003A7C71"/>
    <w:rsid w:val="003B2A22"/>
    <w:rsid w:val="003B71B7"/>
    <w:rsid w:val="003C34C1"/>
    <w:rsid w:val="003C34E8"/>
    <w:rsid w:val="003C4C84"/>
    <w:rsid w:val="003C631F"/>
    <w:rsid w:val="003D2BB1"/>
    <w:rsid w:val="003D67FC"/>
    <w:rsid w:val="003E23D5"/>
    <w:rsid w:val="003F054B"/>
    <w:rsid w:val="003F5A2B"/>
    <w:rsid w:val="00400BD8"/>
    <w:rsid w:val="004049FA"/>
    <w:rsid w:val="00404E8B"/>
    <w:rsid w:val="00405B12"/>
    <w:rsid w:val="0040615A"/>
    <w:rsid w:val="004062A6"/>
    <w:rsid w:val="00414FCB"/>
    <w:rsid w:val="00423311"/>
    <w:rsid w:val="00440EEE"/>
    <w:rsid w:val="00441FDE"/>
    <w:rsid w:val="004468C9"/>
    <w:rsid w:val="004519DD"/>
    <w:rsid w:val="00456075"/>
    <w:rsid w:val="00461400"/>
    <w:rsid w:val="00464D35"/>
    <w:rsid w:val="00464FFD"/>
    <w:rsid w:val="00482A57"/>
    <w:rsid w:val="004838AC"/>
    <w:rsid w:val="004876F9"/>
    <w:rsid w:val="00496E77"/>
    <w:rsid w:val="004A1274"/>
    <w:rsid w:val="004A12CD"/>
    <w:rsid w:val="004A223D"/>
    <w:rsid w:val="004A3170"/>
    <w:rsid w:val="004A3AAF"/>
    <w:rsid w:val="004A4A6E"/>
    <w:rsid w:val="004B17DF"/>
    <w:rsid w:val="004B4FC6"/>
    <w:rsid w:val="004B5DDE"/>
    <w:rsid w:val="004C1411"/>
    <w:rsid w:val="004C1728"/>
    <w:rsid w:val="004C4754"/>
    <w:rsid w:val="004D3555"/>
    <w:rsid w:val="004F1C5F"/>
    <w:rsid w:val="004F5E4E"/>
    <w:rsid w:val="004F7E34"/>
    <w:rsid w:val="005012AB"/>
    <w:rsid w:val="00501EF0"/>
    <w:rsid w:val="00503622"/>
    <w:rsid w:val="00515251"/>
    <w:rsid w:val="005161BF"/>
    <w:rsid w:val="00525459"/>
    <w:rsid w:val="0053251D"/>
    <w:rsid w:val="00542092"/>
    <w:rsid w:val="00542D65"/>
    <w:rsid w:val="005451BD"/>
    <w:rsid w:val="00552C68"/>
    <w:rsid w:val="00553981"/>
    <w:rsid w:val="0055557E"/>
    <w:rsid w:val="00556437"/>
    <w:rsid w:val="00556B64"/>
    <w:rsid w:val="00557410"/>
    <w:rsid w:val="00563555"/>
    <w:rsid w:val="00565424"/>
    <w:rsid w:val="005A1948"/>
    <w:rsid w:val="005A23B9"/>
    <w:rsid w:val="005B4AB4"/>
    <w:rsid w:val="005B4E26"/>
    <w:rsid w:val="005C1D4E"/>
    <w:rsid w:val="005C239D"/>
    <w:rsid w:val="005C4CED"/>
    <w:rsid w:val="005D1E95"/>
    <w:rsid w:val="005D27FA"/>
    <w:rsid w:val="005D2AB8"/>
    <w:rsid w:val="005D3521"/>
    <w:rsid w:val="005D3AB1"/>
    <w:rsid w:val="005E1143"/>
    <w:rsid w:val="005F0C7A"/>
    <w:rsid w:val="005F1092"/>
    <w:rsid w:val="005F1CBD"/>
    <w:rsid w:val="00602BB5"/>
    <w:rsid w:val="00604199"/>
    <w:rsid w:val="006041A5"/>
    <w:rsid w:val="00607AF2"/>
    <w:rsid w:val="00610A9A"/>
    <w:rsid w:val="00617F1C"/>
    <w:rsid w:val="00621CA2"/>
    <w:rsid w:val="00632D00"/>
    <w:rsid w:val="00635422"/>
    <w:rsid w:val="00645806"/>
    <w:rsid w:val="006476C6"/>
    <w:rsid w:val="006477A4"/>
    <w:rsid w:val="0065058D"/>
    <w:rsid w:val="0065204B"/>
    <w:rsid w:val="006606C9"/>
    <w:rsid w:val="00662EB7"/>
    <w:rsid w:val="00666286"/>
    <w:rsid w:val="00667CDF"/>
    <w:rsid w:val="00670392"/>
    <w:rsid w:val="006740C6"/>
    <w:rsid w:val="00687888"/>
    <w:rsid w:val="00687AC7"/>
    <w:rsid w:val="0069097F"/>
    <w:rsid w:val="0069266C"/>
    <w:rsid w:val="00697CE9"/>
    <w:rsid w:val="006A15A5"/>
    <w:rsid w:val="006A2324"/>
    <w:rsid w:val="006A2B36"/>
    <w:rsid w:val="006A357F"/>
    <w:rsid w:val="006B0D6F"/>
    <w:rsid w:val="006B3C22"/>
    <w:rsid w:val="006B7001"/>
    <w:rsid w:val="006C41EC"/>
    <w:rsid w:val="006D159E"/>
    <w:rsid w:val="006D5BB1"/>
    <w:rsid w:val="006D5C42"/>
    <w:rsid w:val="006E1268"/>
    <w:rsid w:val="006F239C"/>
    <w:rsid w:val="007060D8"/>
    <w:rsid w:val="00706E33"/>
    <w:rsid w:val="007166C5"/>
    <w:rsid w:val="00722A67"/>
    <w:rsid w:val="00727E8D"/>
    <w:rsid w:val="00730DC4"/>
    <w:rsid w:val="00732321"/>
    <w:rsid w:val="007342B2"/>
    <w:rsid w:val="00734DA5"/>
    <w:rsid w:val="00752DAC"/>
    <w:rsid w:val="00753DB6"/>
    <w:rsid w:val="00754094"/>
    <w:rsid w:val="0075493E"/>
    <w:rsid w:val="00771FC2"/>
    <w:rsid w:val="00775C69"/>
    <w:rsid w:val="007970CE"/>
    <w:rsid w:val="0079755C"/>
    <w:rsid w:val="007A2C24"/>
    <w:rsid w:val="007A4613"/>
    <w:rsid w:val="007A59BF"/>
    <w:rsid w:val="007C1DAD"/>
    <w:rsid w:val="007C5BD7"/>
    <w:rsid w:val="007C7B07"/>
    <w:rsid w:val="007D6D4E"/>
    <w:rsid w:val="007E2923"/>
    <w:rsid w:val="007F6456"/>
    <w:rsid w:val="007F64F6"/>
    <w:rsid w:val="00800333"/>
    <w:rsid w:val="008059BF"/>
    <w:rsid w:val="00806FCD"/>
    <w:rsid w:val="00807F53"/>
    <w:rsid w:val="00813273"/>
    <w:rsid w:val="00814694"/>
    <w:rsid w:val="0081769D"/>
    <w:rsid w:val="008206A5"/>
    <w:rsid w:val="008220F6"/>
    <w:rsid w:val="0082475F"/>
    <w:rsid w:val="00827541"/>
    <w:rsid w:val="0083650A"/>
    <w:rsid w:val="00841930"/>
    <w:rsid w:val="00847E57"/>
    <w:rsid w:val="008679C0"/>
    <w:rsid w:val="0087062A"/>
    <w:rsid w:val="00874CD6"/>
    <w:rsid w:val="00891645"/>
    <w:rsid w:val="00893E70"/>
    <w:rsid w:val="00895B0C"/>
    <w:rsid w:val="0089602F"/>
    <w:rsid w:val="00896C32"/>
    <w:rsid w:val="00897B59"/>
    <w:rsid w:val="008A3489"/>
    <w:rsid w:val="008A3CBE"/>
    <w:rsid w:val="008B0ACC"/>
    <w:rsid w:val="008B181F"/>
    <w:rsid w:val="008B5DC8"/>
    <w:rsid w:val="008C1709"/>
    <w:rsid w:val="008C6990"/>
    <w:rsid w:val="008D11C3"/>
    <w:rsid w:val="008F32EF"/>
    <w:rsid w:val="0090073A"/>
    <w:rsid w:val="009031E6"/>
    <w:rsid w:val="00903CFA"/>
    <w:rsid w:val="00904198"/>
    <w:rsid w:val="00905D17"/>
    <w:rsid w:val="009061E4"/>
    <w:rsid w:val="00907C02"/>
    <w:rsid w:val="009118F3"/>
    <w:rsid w:val="009124B7"/>
    <w:rsid w:val="009130E9"/>
    <w:rsid w:val="00914A7B"/>
    <w:rsid w:val="00914CA6"/>
    <w:rsid w:val="00917848"/>
    <w:rsid w:val="0092058F"/>
    <w:rsid w:val="00923202"/>
    <w:rsid w:val="00932E1C"/>
    <w:rsid w:val="00935156"/>
    <w:rsid w:val="00937D18"/>
    <w:rsid w:val="009426ED"/>
    <w:rsid w:val="0094486D"/>
    <w:rsid w:val="00946C47"/>
    <w:rsid w:val="00953CB2"/>
    <w:rsid w:val="009616AA"/>
    <w:rsid w:val="00975BAD"/>
    <w:rsid w:val="00983524"/>
    <w:rsid w:val="009867E2"/>
    <w:rsid w:val="009911DC"/>
    <w:rsid w:val="00992BA8"/>
    <w:rsid w:val="009C4CF0"/>
    <w:rsid w:val="009C6FB3"/>
    <w:rsid w:val="009D3CD2"/>
    <w:rsid w:val="009D5969"/>
    <w:rsid w:val="009E4491"/>
    <w:rsid w:val="009F025E"/>
    <w:rsid w:val="009F2AF5"/>
    <w:rsid w:val="00A17620"/>
    <w:rsid w:val="00A17C7A"/>
    <w:rsid w:val="00A17C86"/>
    <w:rsid w:val="00A26868"/>
    <w:rsid w:val="00A3425B"/>
    <w:rsid w:val="00A34B84"/>
    <w:rsid w:val="00A353E1"/>
    <w:rsid w:val="00A43721"/>
    <w:rsid w:val="00A44BD7"/>
    <w:rsid w:val="00A5313C"/>
    <w:rsid w:val="00A53D6F"/>
    <w:rsid w:val="00A57C6E"/>
    <w:rsid w:val="00A61B79"/>
    <w:rsid w:val="00A65200"/>
    <w:rsid w:val="00A655FB"/>
    <w:rsid w:val="00A66055"/>
    <w:rsid w:val="00A73C20"/>
    <w:rsid w:val="00A76F9E"/>
    <w:rsid w:val="00A77740"/>
    <w:rsid w:val="00A81768"/>
    <w:rsid w:val="00A82C02"/>
    <w:rsid w:val="00A95B1D"/>
    <w:rsid w:val="00A96CE7"/>
    <w:rsid w:val="00A96DCD"/>
    <w:rsid w:val="00AA26ED"/>
    <w:rsid w:val="00AA5CD1"/>
    <w:rsid w:val="00AA7C0B"/>
    <w:rsid w:val="00AB0BDB"/>
    <w:rsid w:val="00AB3462"/>
    <w:rsid w:val="00AB3C46"/>
    <w:rsid w:val="00AB6CC5"/>
    <w:rsid w:val="00AB6EDF"/>
    <w:rsid w:val="00AC62E9"/>
    <w:rsid w:val="00AD0E55"/>
    <w:rsid w:val="00AD1A2F"/>
    <w:rsid w:val="00AD4950"/>
    <w:rsid w:val="00AE3FCF"/>
    <w:rsid w:val="00AF62B3"/>
    <w:rsid w:val="00AF6913"/>
    <w:rsid w:val="00AF7925"/>
    <w:rsid w:val="00AF7B7C"/>
    <w:rsid w:val="00B0438C"/>
    <w:rsid w:val="00B06CC3"/>
    <w:rsid w:val="00B11344"/>
    <w:rsid w:val="00B14239"/>
    <w:rsid w:val="00B15C3F"/>
    <w:rsid w:val="00B16687"/>
    <w:rsid w:val="00B166E6"/>
    <w:rsid w:val="00B1756D"/>
    <w:rsid w:val="00B23227"/>
    <w:rsid w:val="00B30DEA"/>
    <w:rsid w:val="00B3162F"/>
    <w:rsid w:val="00B43204"/>
    <w:rsid w:val="00B4710F"/>
    <w:rsid w:val="00B511CC"/>
    <w:rsid w:val="00B55FF4"/>
    <w:rsid w:val="00B57D85"/>
    <w:rsid w:val="00B6791A"/>
    <w:rsid w:val="00B8141C"/>
    <w:rsid w:val="00B84EFC"/>
    <w:rsid w:val="00B8762F"/>
    <w:rsid w:val="00B96323"/>
    <w:rsid w:val="00BA2DCE"/>
    <w:rsid w:val="00BB2848"/>
    <w:rsid w:val="00BB2F17"/>
    <w:rsid w:val="00BC57B8"/>
    <w:rsid w:val="00BE0A52"/>
    <w:rsid w:val="00BE2ED8"/>
    <w:rsid w:val="00BE5ABA"/>
    <w:rsid w:val="00BE5F86"/>
    <w:rsid w:val="00BF6053"/>
    <w:rsid w:val="00BF7783"/>
    <w:rsid w:val="00BF7FA7"/>
    <w:rsid w:val="00C040B2"/>
    <w:rsid w:val="00C048B2"/>
    <w:rsid w:val="00C10A06"/>
    <w:rsid w:val="00C11CEB"/>
    <w:rsid w:val="00C25A01"/>
    <w:rsid w:val="00C33C39"/>
    <w:rsid w:val="00C43CC2"/>
    <w:rsid w:val="00C502FE"/>
    <w:rsid w:val="00C5386D"/>
    <w:rsid w:val="00C56593"/>
    <w:rsid w:val="00C56858"/>
    <w:rsid w:val="00C66A3C"/>
    <w:rsid w:val="00C7280A"/>
    <w:rsid w:val="00C84650"/>
    <w:rsid w:val="00C84E71"/>
    <w:rsid w:val="00CB6A05"/>
    <w:rsid w:val="00CB71DF"/>
    <w:rsid w:val="00CC1D10"/>
    <w:rsid w:val="00CC46E1"/>
    <w:rsid w:val="00CC62B8"/>
    <w:rsid w:val="00CC7827"/>
    <w:rsid w:val="00CD3175"/>
    <w:rsid w:val="00CE793E"/>
    <w:rsid w:val="00CF7695"/>
    <w:rsid w:val="00D06008"/>
    <w:rsid w:val="00D06D76"/>
    <w:rsid w:val="00D12BBB"/>
    <w:rsid w:val="00D149E1"/>
    <w:rsid w:val="00D14C7F"/>
    <w:rsid w:val="00D17957"/>
    <w:rsid w:val="00D2137E"/>
    <w:rsid w:val="00D23A1F"/>
    <w:rsid w:val="00D250DA"/>
    <w:rsid w:val="00D45326"/>
    <w:rsid w:val="00D45E49"/>
    <w:rsid w:val="00D4651C"/>
    <w:rsid w:val="00D60567"/>
    <w:rsid w:val="00D611B8"/>
    <w:rsid w:val="00D66292"/>
    <w:rsid w:val="00D7046F"/>
    <w:rsid w:val="00D77999"/>
    <w:rsid w:val="00D80F3D"/>
    <w:rsid w:val="00D85582"/>
    <w:rsid w:val="00D92051"/>
    <w:rsid w:val="00D94274"/>
    <w:rsid w:val="00D961E3"/>
    <w:rsid w:val="00DA14BE"/>
    <w:rsid w:val="00DA749F"/>
    <w:rsid w:val="00DB4347"/>
    <w:rsid w:val="00DB48F5"/>
    <w:rsid w:val="00DB7457"/>
    <w:rsid w:val="00DC04D5"/>
    <w:rsid w:val="00DC0CC6"/>
    <w:rsid w:val="00DC22EF"/>
    <w:rsid w:val="00DC494C"/>
    <w:rsid w:val="00DC558A"/>
    <w:rsid w:val="00DD14AE"/>
    <w:rsid w:val="00DD51FA"/>
    <w:rsid w:val="00DD5FBE"/>
    <w:rsid w:val="00DD602E"/>
    <w:rsid w:val="00DE0165"/>
    <w:rsid w:val="00DE39C8"/>
    <w:rsid w:val="00DF1799"/>
    <w:rsid w:val="00DF527B"/>
    <w:rsid w:val="00E023B3"/>
    <w:rsid w:val="00E02EFB"/>
    <w:rsid w:val="00E1225B"/>
    <w:rsid w:val="00E15102"/>
    <w:rsid w:val="00E157BA"/>
    <w:rsid w:val="00E1696D"/>
    <w:rsid w:val="00E234E3"/>
    <w:rsid w:val="00E23BA3"/>
    <w:rsid w:val="00E32982"/>
    <w:rsid w:val="00E36C1E"/>
    <w:rsid w:val="00E373AD"/>
    <w:rsid w:val="00E458B9"/>
    <w:rsid w:val="00E45A42"/>
    <w:rsid w:val="00E46DC0"/>
    <w:rsid w:val="00E54DB5"/>
    <w:rsid w:val="00E6169D"/>
    <w:rsid w:val="00E627B7"/>
    <w:rsid w:val="00E64481"/>
    <w:rsid w:val="00E66635"/>
    <w:rsid w:val="00E70E6C"/>
    <w:rsid w:val="00E717FD"/>
    <w:rsid w:val="00E749B3"/>
    <w:rsid w:val="00E77ED3"/>
    <w:rsid w:val="00E83F6F"/>
    <w:rsid w:val="00E8504A"/>
    <w:rsid w:val="00E85EA8"/>
    <w:rsid w:val="00E87B56"/>
    <w:rsid w:val="00E94EAD"/>
    <w:rsid w:val="00EA18EE"/>
    <w:rsid w:val="00EA27C3"/>
    <w:rsid w:val="00EA290C"/>
    <w:rsid w:val="00EA3C45"/>
    <w:rsid w:val="00EB5EAE"/>
    <w:rsid w:val="00EB6B4D"/>
    <w:rsid w:val="00EC4215"/>
    <w:rsid w:val="00ED3327"/>
    <w:rsid w:val="00ED3FBF"/>
    <w:rsid w:val="00ED6FAA"/>
    <w:rsid w:val="00EE3C35"/>
    <w:rsid w:val="00EF058E"/>
    <w:rsid w:val="00EF4741"/>
    <w:rsid w:val="00EF57A5"/>
    <w:rsid w:val="00F06557"/>
    <w:rsid w:val="00F07438"/>
    <w:rsid w:val="00F07E6D"/>
    <w:rsid w:val="00F10E4F"/>
    <w:rsid w:val="00F13F8B"/>
    <w:rsid w:val="00F1540F"/>
    <w:rsid w:val="00F15F26"/>
    <w:rsid w:val="00F2096A"/>
    <w:rsid w:val="00F20BEC"/>
    <w:rsid w:val="00F22874"/>
    <w:rsid w:val="00F25A3C"/>
    <w:rsid w:val="00F323AB"/>
    <w:rsid w:val="00F32E18"/>
    <w:rsid w:val="00F332AE"/>
    <w:rsid w:val="00F35F36"/>
    <w:rsid w:val="00F42DE6"/>
    <w:rsid w:val="00F4560A"/>
    <w:rsid w:val="00F4685A"/>
    <w:rsid w:val="00F544AB"/>
    <w:rsid w:val="00F544AF"/>
    <w:rsid w:val="00F56907"/>
    <w:rsid w:val="00F61A67"/>
    <w:rsid w:val="00F62341"/>
    <w:rsid w:val="00F65105"/>
    <w:rsid w:val="00F77FAF"/>
    <w:rsid w:val="00F8150F"/>
    <w:rsid w:val="00F823B8"/>
    <w:rsid w:val="00F96630"/>
    <w:rsid w:val="00F96FB9"/>
    <w:rsid w:val="00FA2590"/>
    <w:rsid w:val="00FB1D4A"/>
    <w:rsid w:val="00FB5700"/>
    <w:rsid w:val="00FC72FB"/>
    <w:rsid w:val="00FD22D3"/>
    <w:rsid w:val="00FD6990"/>
    <w:rsid w:val="00FD7710"/>
    <w:rsid w:val="00FE4C18"/>
    <w:rsid w:val="00FE7329"/>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70C"/>
  <w15:chartTrackingRefBased/>
  <w15:docId w15:val="{0594B096-1443-41E3-9265-D96ABB2F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5C"/>
    <w:pPr>
      <w:autoSpaceDE w:val="0"/>
      <w:autoSpaceDN w:val="0"/>
      <w:adjustRightInd w:val="0"/>
      <w:spacing w:after="0" w:line="240" w:lineRule="auto"/>
      <w:jc w:val="both"/>
    </w:pPr>
    <w:rPr>
      <w:rFonts w:eastAsia="Cambria" w:cstheme="minorHAnsi"/>
      <w:szCs w:val="24"/>
    </w:rPr>
  </w:style>
  <w:style w:type="paragraph" w:styleId="Heading1">
    <w:name w:val="heading 1"/>
    <w:basedOn w:val="Heading2"/>
    <w:next w:val="Normal"/>
    <w:link w:val="Heading1Char"/>
    <w:uiPriority w:val="9"/>
    <w:qFormat/>
    <w:rsid w:val="007C5BD7"/>
    <w:pPr>
      <w:outlineLvl w:val="0"/>
    </w:pPr>
    <w:rPr>
      <w:sz w:val="21"/>
      <w:szCs w:val="22"/>
    </w:rPr>
  </w:style>
  <w:style w:type="paragraph" w:styleId="Heading2">
    <w:name w:val="heading 2"/>
    <w:basedOn w:val="Normal"/>
    <w:next w:val="Normal"/>
    <w:link w:val="Heading2Char"/>
    <w:uiPriority w:val="9"/>
    <w:unhideWhenUsed/>
    <w:qFormat/>
    <w:rsid w:val="00DF527B"/>
    <w:pPr>
      <w:outlineLvl w:val="1"/>
    </w:pPr>
    <w:rPr>
      <w:b/>
      <w:bCs/>
      <w:sz w:val="20"/>
      <w:szCs w:val="21"/>
    </w:rPr>
  </w:style>
  <w:style w:type="paragraph" w:styleId="Heading3">
    <w:name w:val="heading 3"/>
    <w:basedOn w:val="Normal"/>
    <w:next w:val="Normal"/>
    <w:link w:val="Heading3Char"/>
    <w:uiPriority w:val="9"/>
    <w:unhideWhenUsed/>
    <w:qFormat/>
    <w:rsid w:val="0065204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4FFD"/>
    <w:pPr>
      <w:spacing w:after="0" w:line="240" w:lineRule="auto"/>
    </w:pPr>
    <w:rPr>
      <w:rFonts w:eastAsia="Cambria" w:cstheme="minorHAnsi"/>
      <w:szCs w:val="24"/>
    </w:rPr>
  </w:style>
  <w:style w:type="paragraph" w:styleId="ListParagraph">
    <w:name w:val="List Paragraph"/>
    <w:basedOn w:val="Normal"/>
    <w:uiPriority w:val="34"/>
    <w:qFormat/>
    <w:rsid w:val="00D7046F"/>
    <w:pPr>
      <w:contextualSpacing/>
    </w:pPr>
  </w:style>
  <w:style w:type="character" w:styleId="CommentReference">
    <w:name w:val="annotation reference"/>
    <w:basedOn w:val="DefaultParagraphFont"/>
    <w:uiPriority w:val="99"/>
    <w:semiHidden/>
    <w:unhideWhenUsed/>
    <w:rsid w:val="00617F1C"/>
    <w:rPr>
      <w:sz w:val="16"/>
      <w:szCs w:val="16"/>
    </w:rPr>
  </w:style>
  <w:style w:type="paragraph" w:styleId="CommentText">
    <w:name w:val="annotation text"/>
    <w:basedOn w:val="Normal"/>
    <w:link w:val="CommentTextChar"/>
    <w:uiPriority w:val="99"/>
    <w:unhideWhenUsed/>
    <w:rsid w:val="00617F1C"/>
    <w:rPr>
      <w:sz w:val="20"/>
      <w:szCs w:val="20"/>
    </w:rPr>
  </w:style>
  <w:style w:type="character" w:customStyle="1" w:styleId="CommentTextChar">
    <w:name w:val="Comment Text Char"/>
    <w:basedOn w:val="DefaultParagraphFont"/>
    <w:link w:val="CommentText"/>
    <w:uiPriority w:val="99"/>
    <w:rsid w:val="00617F1C"/>
    <w:rPr>
      <w:rFonts w:eastAsia="Cambria" w:cstheme="minorHAnsi"/>
      <w:sz w:val="20"/>
      <w:szCs w:val="20"/>
    </w:rPr>
  </w:style>
  <w:style w:type="paragraph" w:styleId="CommentSubject">
    <w:name w:val="annotation subject"/>
    <w:basedOn w:val="CommentText"/>
    <w:next w:val="CommentText"/>
    <w:link w:val="CommentSubjectChar"/>
    <w:uiPriority w:val="99"/>
    <w:semiHidden/>
    <w:unhideWhenUsed/>
    <w:rsid w:val="00617F1C"/>
    <w:rPr>
      <w:b/>
      <w:bCs/>
    </w:rPr>
  </w:style>
  <w:style w:type="character" w:customStyle="1" w:styleId="CommentSubjectChar">
    <w:name w:val="Comment Subject Char"/>
    <w:basedOn w:val="CommentTextChar"/>
    <w:link w:val="CommentSubject"/>
    <w:uiPriority w:val="99"/>
    <w:semiHidden/>
    <w:rsid w:val="00617F1C"/>
    <w:rPr>
      <w:rFonts w:eastAsia="Cambria" w:cstheme="minorHAnsi"/>
      <w:b/>
      <w:bCs/>
      <w:sz w:val="20"/>
      <w:szCs w:val="20"/>
    </w:rPr>
  </w:style>
  <w:style w:type="paragraph" w:styleId="HTMLPreformatted">
    <w:name w:val="HTML Preformatted"/>
    <w:basedOn w:val="Normal"/>
    <w:link w:val="HTMLPreformattedChar"/>
    <w:uiPriority w:val="99"/>
    <w:semiHidden/>
    <w:unhideWhenUsed/>
    <w:rsid w:val="007F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4F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DF527B"/>
    <w:rPr>
      <w:rFonts w:eastAsia="Cambria" w:cstheme="minorHAnsi"/>
      <w:b/>
      <w:bCs/>
      <w:sz w:val="20"/>
      <w:szCs w:val="21"/>
    </w:rPr>
  </w:style>
  <w:style w:type="table" w:styleId="TableGrid">
    <w:name w:val="Table Grid"/>
    <w:basedOn w:val="TableNormal"/>
    <w:uiPriority w:val="39"/>
    <w:rsid w:val="00C7280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GREY">
    <w:name w:val="NORMAL GREY"/>
    <w:basedOn w:val="Normal"/>
    <w:qFormat/>
    <w:rsid w:val="00C7280A"/>
    <w:pPr>
      <w:jc w:val="left"/>
    </w:pPr>
    <w:rPr>
      <w:rFonts w:eastAsiaTheme="minorEastAsia" w:cstheme="minorBidi"/>
      <w:sz w:val="20"/>
      <w:szCs w:val="20"/>
    </w:rPr>
  </w:style>
  <w:style w:type="paragraph" w:customStyle="1" w:styleId="TableBullet">
    <w:name w:val="Table Bullet"/>
    <w:basedOn w:val="Normal"/>
    <w:qFormat/>
    <w:rsid w:val="00C7280A"/>
    <w:pPr>
      <w:numPr>
        <w:numId w:val="9"/>
      </w:numPr>
      <w:spacing w:after="40"/>
      <w:ind w:left="461"/>
      <w:jc w:val="left"/>
    </w:pPr>
    <w:rPr>
      <w:rFonts w:eastAsiaTheme="minorEastAsia"/>
      <w:color w:val="111111"/>
      <w:sz w:val="16"/>
      <w:szCs w:val="16"/>
    </w:rPr>
  </w:style>
  <w:style w:type="character" w:customStyle="1" w:styleId="Heading3Char">
    <w:name w:val="Heading 3 Char"/>
    <w:basedOn w:val="DefaultParagraphFont"/>
    <w:link w:val="Heading3"/>
    <w:uiPriority w:val="9"/>
    <w:rsid w:val="0065204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C5BD7"/>
    <w:rPr>
      <w:rFonts w:eastAsia="Cambria" w:cstheme="minorHAnsi"/>
      <w:b/>
      <w:bCs/>
      <w:sz w:val="21"/>
    </w:rPr>
  </w:style>
  <w:style w:type="character" w:styleId="Hyperlink">
    <w:name w:val="Hyperlink"/>
    <w:basedOn w:val="DefaultParagraphFont"/>
    <w:uiPriority w:val="99"/>
    <w:unhideWhenUsed/>
    <w:rsid w:val="003A7C71"/>
    <w:rPr>
      <w:color w:val="0563C1" w:themeColor="hyperlink"/>
      <w:u w:val="single"/>
    </w:rPr>
  </w:style>
  <w:style w:type="character" w:styleId="UnresolvedMention">
    <w:name w:val="Unresolved Mention"/>
    <w:basedOn w:val="DefaultParagraphFont"/>
    <w:uiPriority w:val="99"/>
    <w:semiHidden/>
    <w:unhideWhenUsed/>
    <w:rsid w:val="003A7C71"/>
    <w:rPr>
      <w:color w:val="605E5C"/>
      <w:shd w:val="clear" w:color="auto" w:fill="E1DFDD"/>
    </w:rPr>
  </w:style>
  <w:style w:type="character" w:styleId="FollowedHyperlink">
    <w:name w:val="FollowedHyperlink"/>
    <w:basedOn w:val="DefaultParagraphFont"/>
    <w:uiPriority w:val="99"/>
    <w:semiHidden/>
    <w:unhideWhenUsed/>
    <w:rsid w:val="00563555"/>
    <w:rPr>
      <w:color w:val="954F72" w:themeColor="followedHyperlink"/>
      <w:u w:val="single"/>
    </w:rPr>
  </w:style>
  <w:style w:type="paragraph" w:styleId="IntenseQuote">
    <w:name w:val="Intense Quote"/>
    <w:basedOn w:val="Normal"/>
    <w:next w:val="Normal"/>
    <w:link w:val="IntenseQuoteChar"/>
    <w:uiPriority w:val="30"/>
    <w:qFormat/>
    <w:rsid w:val="00DD51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D51FA"/>
    <w:rPr>
      <w:rFonts w:eastAsia="Cambria" w:cstheme="minorHAnsi"/>
      <w:i/>
      <w:iCs/>
      <w:color w:val="4472C4"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1903">
      <w:bodyDiv w:val="1"/>
      <w:marLeft w:val="0"/>
      <w:marRight w:val="0"/>
      <w:marTop w:val="0"/>
      <w:marBottom w:val="0"/>
      <w:divBdr>
        <w:top w:val="none" w:sz="0" w:space="0" w:color="auto"/>
        <w:left w:val="none" w:sz="0" w:space="0" w:color="auto"/>
        <w:bottom w:val="none" w:sz="0" w:space="0" w:color="auto"/>
        <w:right w:val="none" w:sz="0" w:space="0" w:color="auto"/>
      </w:divBdr>
    </w:div>
    <w:div w:id="436102687">
      <w:bodyDiv w:val="1"/>
      <w:marLeft w:val="0"/>
      <w:marRight w:val="0"/>
      <w:marTop w:val="0"/>
      <w:marBottom w:val="0"/>
      <w:divBdr>
        <w:top w:val="none" w:sz="0" w:space="0" w:color="auto"/>
        <w:left w:val="none" w:sz="0" w:space="0" w:color="auto"/>
        <w:bottom w:val="none" w:sz="0" w:space="0" w:color="auto"/>
        <w:right w:val="none" w:sz="0" w:space="0" w:color="auto"/>
      </w:divBdr>
    </w:div>
    <w:div w:id="498082363">
      <w:bodyDiv w:val="1"/>
      <w:marLeft w:val="0"/>
      <w:marRight w:val="0"/>
      <w:marTop w:val="0"/>
      <w:marBottom w:val="0"/>
      <w:divBdr>
        <w:top w:val="none" w:sz="0" w:space="0" w:color="auto"/>
        <w:left w:val="none" w:sz="0" w:space="0" w:color="auto"/>
        <w:bottom w:val="none" w:sz="0" w:space="0" w:color="auto"/>
        <w:right w:val="none" w:sz="0" w:space="0" w:color="auto"/>
      </w:divBdr>
    </w:div>
    <w:div w:id="527718302">
      <w:bodyDiv w:val="1"/>
      <w:marLeft w:val="0"/>
      <w:marRight w:val="0"/>
      <w:marTop w:val="0"/>
      <w:marBottom w:val="0"/>
      <w:divBdr>
        <w:top w:val="none" w:sz="0" w:space="0" w:color="auto"/>
        <w:left w:val="none" w:sz="0" w:space="0" w:color="auto"/>
        <w:bottom w:val="none" w:sz="0" w:space="0" w:color="auto"/>
        <w:right w:val="none" w:sz="0" w:space="0" w:color="auto"/>
      </w:divBdr>
    </w:div>
    <w:div w:id="624896778">
      <w:bodyDiv w:val="1"/>
      <w:marLeft w:val="0"/>
      <w:marRight w:val="0"/>
      <w:marTop w:val="0"/>
      <w:marBottom w:val="0"/>
      <w:divBdr>
        <w:top w:val="none" w:sz="0" w:space="0" w:color="auto"/>
        <w:left w:val="none" w:sz="0" w:space="0" w:color="auto"/>
        <w:bottom w:val="none" w:sz="0" w:space="0" w:color="auto"/>
        <w:right w:val="none" w:sz="0" w:space="0" w:color="auto"/>
      </w:divBdr>
    </w:div>
    <w:div w:id="630865432">
      <w:bodyDiv w:val="1"/>
      <w:marLeft w:val="0"/>
      <w:marRight w:val="0"/>
      <w:marTop w:val="0"/>
      <w:marBottom w:val="0"/>
      <w:divBdr>
        <w:top w:val="none" w:sz="0" w:space="0" w:color="auto"/>
        <w:left w:val="none" w:sz="0" w:space="0" w:color="auto"/>
        <w:bottom w:val="none" w:sz="0" w:space="0" w:color="auto"/>
        <w:right w:val="none" w:sz="0" w:space="0" w:color="auto"/>
      </w:divBdr>
    </w:div>
    <w:div w:id="877739327">
      <w:bodyDiv w:val="1"/>
      <w:marLeft w:val="0"/>
      <w:marRight w:val="0"/>
      <w:marTop w:val="0"/>
      <w:marBottom w:val="0"/>
      <w:divBdr>
        <w:top w:val="none" w:sz="0" w:space="0" w:color="auto"/>
        <w:left w:val="none" w:sz="0" w:space="0" w:color="auto"/>
        <w:bottom w:val="none" w:sz="0" w:space="0" w:color="auto"/>
        <w:right w:val="none" w:sz="0" w:space="0" w:color="auto"/>
      </w:divBdr>
    </w:div>
    <w:div w:id="965697454">
      <w:bodyDiv w:val="1"/>
      <w:marLeft w:val="0"/>
      <w:marRight w:val="0"/>
      <w:marTop w:val="0"/>
      <w:marBottom w:val="0"/>
      <w:divBdr>
        <w:top w:val="none" w:sz="0" w:space="0" w:color="auto"/>
        <w:left w:val="none" w:sz="0" w:space="0" w:color="auto"/>
        <w:bottom w:val="none" w:sz="0" w:space="0" w:color="auto"/>
        <w:right w:val="none" w:sz="0" w:space="0" w:color="auto"/>
      </w:divBdr>
    </w:div>
    <w:div w:id="1197963694">
      <w:bodyDiv w:val="1"/>
      <w:marLeft w:val="0"/>
      <w:marRight w:val="0"/>
      <w:marTop w:val="0"/>
      <w:marBottom w:val="0"/>
      <w:divBdr>
        <w:top w:val="none" w:sz="0" w:space="0" w:color="auto"/>
        <w:left w:val="none" w:sz="0" w:space="0" w:color="auto"/>
        <w:bottom w:val="none" w:sz="0" w:space="0" w:color="auto"/>
        <w:right w:val="none" w:sz="0" w:space="0" w:color="auto"/>
      </w:divBdr>
    </w:div>
    <w:div w:id="1588075111">
      <w:bodyDiv w:val="1"/>
      <w:marLeft w:val="0"/>
      <w:marRight w:val="0"/>
      <w:marTop w:val="0"/>
      <w:marBottom w:val="0"/>
      <w:divBdr>
        <w:top w:val="none" w:sz="0" w:space="0" w:color="auto"/>
        <w:left w:val="none" w:sz="0" w:space="0" w:color="auto"/>
        <w:bottom w:val="none" w:sz="0" w:space="0" w:color="auto"/>
        <w:right w:val="none" w:sz="0" w:space="0" w:color="auto"/>
      </w:divBdr>
    </w:div>
    <w:div w:id="1613053931">
      <w:bodyDiv w:val="1"/>
      <w:marLeft w:val="0"/>
      <w:marRight w:val="0"/>
      <w:marTop w:val="0"/>
      <w:marBottom w:val="0"/>
      <w:divBdr>
        <w:top w:val="none" w:sz="0" w:space="0" w:color="auto"/>
        <w:left w:val="none" w:sz="0" w:space="0" w:color="auto"/>
        <w:bottom w:val="none" w:sz="0" w:space="0" w:color="auto"/>
        <w:right w:val="none" w:sz="0" w:space="0" w:color="auto"/>
      </w:divBdr>
    </w:div>
    <w:div w:id="1664426272">
      <w:bodyDiv w:val="1"/>
      <w:marLeft w:val="0"/>
      <w:marRight w:val="0"/>
      <w:marTop w:val="0"/>
      <w:marBottom w:val="0"/>
      <w:divBdr>
        <w:top w:val="none" w:sz="0" w:space="0" w:color="auto"/>
        <w:left w:val="none" w:sz="0" w:space="0" w:color="auto"/>
        <w:bottom w:val="none" w:sz="0" w:space="0" w:color="auto"/>
        <w:right w:val="none" w:sz="0" w:space="0" w:color="auto"/>
      </w:divBdr>
    </w:div>
    <w:div w:id="1759397820">
      <w:bodyDiv w:val="1"/>
      <w:marLeft w:val="0"/>
      <w:marRight w:val="0"/>
      <w:marTop w:val="0"/>
      <w:marBottom w:val="0"/>
      <w:divBdr>
        <w:top w:val="none" w:sz="0" w:space="0" w:color="auto"/>
        <w:left w:val="none" w:sz="0" w:space="0" w:color="auto"/>
        <w:bottom w:val="none" w:sz="0" w:space="0" w:color="auto"/>
        <w:right w:val="none" w:sz="0" w:space="0" w:color="auto"/>
      </w:divBdr>
    </w:div>
    <w:div w:id="1784573071">
      <w:bodyDiv w:val="1"/>
      <w:marLeft w:val="0"/>
      <w:marRight w:val="0"/>
      <w:marTop w:val="0"/>
      <w:marBottom w:val="0"/>
      <w:divBdr>
        <w:top w:val="none" w:sz="0" w:space="0" w:color="auto"/>
        <w:left w:val="none" w:sz="0" w:space="0" w:color="auto"/>
        <w:bottom w:val="none" w:sz="0" w:space="0" w:color="auto"/>
        <w:right w:val="none" w:sz="0" w:space="0" w:color="auto"/>
      </w:divBdr>
    </w:div>
    <w:div w:id="1794906400">
      <w:bodyDiv w:val="1"/>
      <w:marLeft w:val="0"/>
      <w:marRight w:val="0"/>
      <w:marTop w:val="0"/>
      <w:marBottom w:val="0"/>
      <w:divBdr>
        <w:top w:val="none" w:sz="0" w:space="0" w:color="auto"/>
        <w:left w:val="none" w:sz="0" w:space="0" w:color="auto"/>
        <w:bottom w:val="none" w:sz="0" w:space="0" w:color="auto"/>
        <w:right w:val="none" w:sz="0" w:space="0" w:color="auto"/>
      </w:divBdr>
    </w:div>
    <w:div w:id="17992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Links>
    <vt:vector size="12" baseType="variant">
      <vt:variant>
        <vt:i4>2883625</vt:i4>
      </vt:variant>
      <vt:variant>
        <vt:i4>3</vt:i4>
      </vt:variant>
      <vt:variant>
        <vt:i4>0</vt:i4>
      </vt:variant>
      <vt:variant>
        <vt:i4>5</vt:i4>
      </vt:variant>
      <vt:variant>
        <vt:lpwstr/>
      </vt:variant>
      <vt:variant>
        <vt:lpwstr>_INVESTMENT_EDUCATION</vt:lpwstr>
      </vt:variant>
      <vt:variant>
        <vt:i4>6094964</vt:i4>
      </vt:variant>
      <vt:variant>
        <vt:i4>0</vt:i4>
      </vt:variant>
      <vt:variant>
        <vt:i4>0</vt:i4>
      </vt:variant>
      <vt:variant>
        <vt:i4>5</vt:i4>
      </vt:variant>
      <vt:variant>
        <vt:lpwstr/>
      </vt:variant>
      <vt:variant>
        <vt:lpwstr>_INVESTMENT_ADVICE_AND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Harry</dc:creator>
  <cp:keywords/>
  <dc:description/>
  <cp:lastModifiedBy>Nancy Harry</cp:lastModifiedBy>
  <cp:revision>66</cp:revision>
  <dcterms:created xsi:type="dcterms:W3CDTF">2022-01-31T03:57:00Z</dcterms:created>
  <dcterms:modified xsi:type="dcterms:W3CDTF">2022-02-03T18:11:00Z</dcterms:modified>
</cp:coreProperties>
</file>