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CC0B" w14:textId="77777777" w:rsidR="0034623F" w:rsidRPr="00563555" w:rsidRDefault="0034623F" w:rsidP="0034623F">
      <w:pPr>
        <w:rPr>
          <w:sz w:val="20"/>
          <w:szCs w:val="20"/>
        </w:rPr>
      </w:pPr>
    </w:p>
    <w:tbl>
      <w:tblPr>
        <w:tblStyle w:val="TableGrid"/>
        <w:tblW w:w="11160" w:type="dxa"/>
        <w:tblInd w:w="-185" w:type="dxa"/>
        <w:tblLayout w:type="fixed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600"/>
        <w:gridCol w:w="1170"/>
        <w:gridCol w:w="1530"/>
        <w:gridCol w:w="2520"/>
        <w:gridCol w:w="2340"/>
      </w:tblGrid>
      <w:tr w:rsidR="0034623F" w:rsidRPr="0034623F" w14:paraId="772CCEFA" w14:textId="77777777" w:rsidTr="0034623F">
        <w:trPr>
          <w:trHeight w:val="432"/>
        </w:trPr>
        <w:tc>
          <w:tcPr>
            <w:tcW w:w="11160" w:type="dxa"/>
            <w:gridSpan w:val="5"/>
            <w:shd w:val="clear" w:color="auto" w:fill="002060"/>
            <w:vAlign w:val="center"/>
          </w:tcPr>
          <w:p w14:paraId="095AB05E" w14:textId="2E33ABD9" w:rsidR="0034623F" w:rsidRPr="0034623F" w:rsidRDefault="00DB70DF" w:rsidP="00E153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PROVIDED </w:t>
            </w:r>
            <w:r w:rsidR="0034623F" w:rsidRPr="0034623F">
              <w:rPr>
                <w:b/>
                <w:bCs/>
                <w:sz w:val="20"/>
                <w:szCs w:val="20"/>
              </w:rPr>
              <w:t>EDUCATION ONLY - REVIEW OF CLIENT CONSIDERATIONS</w:t>
            </w:r>
            <w:r w:rsidR="00A2319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4623F" w:rsidRPr="00563555" w14:paraId="4FC14E6A" w14:textId="77777777" w:rsidTr="00EF6EEC">
        <w:trPr>
          <w:trHeight w:val="755"/>
        </w:trPr>
        <w:tc>
          <w:tcPr>
            <w:tcW w:w="11160" w:type="dxa"/>
            <w:gridSpan w:val="5"/>
            <w:shd w:val="clear" w:color="auto" w:fill="D9D9D9" w:themeFill="background1" w:themeFillShade="D9"/>
            <w:vAlign w:val="center"/>
          </w:tcPr>
          <w:p w14:paraId="0D0D3BF1" w14:textId="4EAF3379" w:rsidR="0034623F" w:rsidRPr="00771FC2" w:rsidRDefault="0034623F" w:rsidP="00E15379">
            <w:pPr>
              <w:pStyle w:val="NORMALGREY"/>
              <w:rPr>
                <w:rFonts w:cstheme="minorHAnsi"/>
                <w:sz w:val="16"/>
                <w:szCs w:val="16"/>
              </w:rPr>
            </w:pPr>
            <w:r w:rsidRPr="00771FC2">
              <w:rPr>
                <w:rFonts w:cstheme="minorHAnsi"/>
                <w:sz w:val="16"/>
                <w:szCs w:val="16"/>
              </w:rPr>
              <w:t xml:space="preserve">Rolling over </w:t>
            </w:r>
            <w:r w:rsidR="000437A2">
              <w:rPr>
                <w:rFonts w:cstheme="minorHAnsi"/>
                <w:sz w:val="16"/>
                <w:szCs w:val="16"/>
              </w:rPr>
              <w:t>a</w:t>
            </w:r>
            <w:r w:rsidR="000437A2" w:rsidRPr="00771FC2">
              <w:rPr>
                <w:rFonts w:cstheme="minorHAnsi"/>
                <w:sz w:val="16"/>
                <w:szCs w:val="16"/>
              </w:rPr>
              <w:t xml:space="preserve"> </w:t>
            </w:r>
            <w:r w:rsidRPr="00771FC2">
              <w:rPr>
                <w:rFonts w:cstheme="minorHAnsi"/>
                <w:sz w:val="16"/>
                <w:szCs w:val="16"/>
              </w:rPr>
              <w:t>401(k)</w:t>
            </w:r>
            <w:r w:rsidR="001C760E">
              <w:rPr>
                <w:rFonts w:cstheme="minorHAnsi"/>
                <w:sz w:val="16"/>
                <w:szCs w:val="16"/>
              </w:rPr>
              <w:t xml:space="preserve"> balance</w:t>
            </w:r>
            <w:r w:rsidRPr="00771FC2">
              <w:rPr>
                <w:rFonts w:cstheme="minorHAnsi"/>
                <w:sz w:val="16"/>
                <w:szCs w:val="16"/>
              </w:rPr>
              <w:t xml:space="preserve"> to an Individual Retirement Account</w:t>
            </w:r>
            <w:r w:rsidR="00AA2E63">
              <w:rPr>
                <w:rFonts w:cstheme="minorHAnsi"/>
                <w:sz w:val="16"/>
                <w:szCs w:val="16"/>
              </w:rPr>
              <w:t xml:space="preserve"> (IRA</w:t>
            </w:r>
            <w:r w:rsidRPr="00771FC2">
              <w:rPr>
                <w:rFonts w:cstheme="minorHAnsi"/>
                <w:sz w:val="16"/>
                <w:szCs w:val="16"/>
              </w:rPr>
              <w:t xml:space="preserve">) is </w:t>
            </w:r>
            <w:r w:rsidR="00137DB6">
              <w:rPr>
                <w:rFonts w:cstheme="minorHAnsi"/>
                <w:sz w:val="16"/>
                <w:szCs w:val="16"/>
              </w:rPr>
              <w:t xml:space="preserve">only </w:t>
            </w:r>
            <w:r w:rsidRPr="00771FC2">
              <w:rPr>
                <w:rFonts w:cstheme="minorHAnsi"/>
                <w:sz w:val="16"/>
                <w:szCs w:val="16"/>
              </w:rPr>
              <w:t xml:space="preserve">one </w:t>
            </w:r>
            <w:r w:rsidR="003A2485">
              <w:rPr>
                <w:rFonts w:cstheme="minorHAnsi"/>
                <w:sz w:val="16"/>
                <w:szCs w:val="16"/>
              </w:rPr>
              <w:t>option</w:t>
            </w:r>
            <w:r w:rsidR="00354182">
              <w:rPr>
                <w:rFonts w:cstheme="minorHAnsi"/>
                <w:sz w:val="16"/>
                <w:szCs w:val="16"/>
              </w:rPr>
              <w:t xml:space="preserve"> when </w:t>
            </w:r>
            <w:r w:rsidR="001F123A">
              <w:rPr>
                <w:rFonts w:cstheme="minorHAnsi"/>
                <w:sz w:val="16"/>
                <w:szCs w:val="16"/>
              </w:rPr>
              <w:t>leav</w:t>
            </w:r>
            <w:r w:rsidR="0036285A">
              <w:rPr>
                <w:rFonts w:cstheme="minorHAnsi"/>
                <w:sz w:val="16"/>
                <w:szCs w:val="16"/>
              </w:rPr>
              <w:t>ing</w:t>
            </w:r>
            <w:r w:rsidR="001F123A">
              <w:rPr>
                <w:rFonts w:cstheme="minorHAnsi"/>
                <w:sz w:val="16"/>
                <w:szCs w:val="16"/>
              </w:rPr>
              <w:t xml:space="preserve"> </w:t>
            </w:r>
            <w:r w:rsidR="001F5673">
              <w:rPr>
                <w:rFonts w:cstheme="minorHAnsi"/>
                <w:sz w:val="16"/>
                <w:szCs w:val="16"/>
              </w:rPr>
              <w:t>an employer</w:t>
            </w:r>
            <w:r w:rsidR="00EF0AF7">
              <w:rPr>
                <w:rFonts w:cstheme="minorHAnsi"/>
                <w:sz w:val="16"/>
                <w:szCs w:val="16"/>
              </w:rPr>
              <w:t>.</w:t>
            </w:r>
            <w:r w:rsidR="001F5673">
              <w:rPr>
                <w:rFonts w:cstheme="minorHAnsi"/>
                <w:sz w:val="16"/>
                <w:szCs w:val="16"/>
              </w:rPr>
              <w:t xml:space="preserve"> </w:t>
            </w:r>
            <w:r w:rsidR="003946E4">
              <w:rPr>
                <w:rFonts w:cstheme="minorHAnsi"/>
                <w:sz w:val="16"/>
                <w:szCs w:val="16"/>
              </w:rPr>
              <w:t xml:space="preserve">Employees should </w:t>
            </w:r>
            <w:r w:rsidR="003A1109">
              <w:rPr>
                <w:rFonts w:cstheme="minorHAnsi"/>
                <w:sz w:val="16"/>
                <w:szCs w:val="16"/>
              </w:rPr>
              <w:t xml:space="preserve">be educated on </w:t>
            </w:r>
            <w:r w:rsidR="006D37E6">
              <w:rPr>
                <w:rFonts w:cstheme="minorHAnsi"/>
                <w:sz w:val="16"/>
                <w:szCs w:val="16"/>
              </w:rPr>
              <w:t xml:space="preserve">the </w:t>
            </w:r>
            <w:r w:rsidR="0026763B">
              <w:rPr>
                <w:rFonts w:cstheme="minorHAnsi"/>
                <w:sz w:val="16"/>
                <w:szCs w:val="16"/>
              </w:rPr>
              <w:t xml:space="preserve">alternatives to rolling over their account balances and consider </w:t>
            </w:r>
            <w:r w:rsidRPr="00771FC2">
              <w:rPr>
                <w:rFonts w:cstheme="minorHAnsi"/>
                <w:sz w:val="16"/>
                <w:szCs w:val="16"/>
              </w:rPr>
              <w:t xml:space="preserve">several factors based on </w:t>
            </w:r>
            <w:r w:rsidR="0026763B">
              <w:rPr>
                <w:rFonts w:cstheme="minorHAnsi"/>
                <w:sz w:val="16"/>
                <w:szCs w:val="16"/>
              </w:rPr>
              <w:t xml:space="preserve">each </w:t>
            </w:r>
            <w:r w:rsidRPr="00771FC2">
              <w:rPr>
                <w:rFonts w:cstheme="minorHAnsi"/>
                <w:sz w:val="16"/>
                <w:szCs w:val="16"/>
              </w:rPr>
              <w:t>personal circumstanc</w:t>
            </w:r>
            <w:r w:rsidR="0026763B">
              <w:rPr>
                <w:rFonts w:cstheme="minorHAnsi"/>
                <w:sz w:val="16"/>
                <w:szCs w:val="16"/>
              </w:rPr>
              <w:t>e</w:t>
            </w:r>
            <w:r w:rsidRPr="00771FC2">
              <w:rPr>
                <w:rFonts w:cstheme="minorHAnsi"/>
                <w:sz w:val="16"/>
                <w:szCs w:val="16"/>
              </w:rPr>
              <w:t>. The information</w:t>
            </w:r>
            <w:r w:rsidR="00ED4C5F">
              <w:rPr>
                <w:rFonts w:cstheme="minorHAnsi"/>
                <w:sz w:val="16"/>
                <w:szCs w:val="16"/>
              </w:rPr>
              <w:t xml:space="preserve"> </w:t>
            </w:r>
            <w:r w:rsidR="0026763B">
              <w:rPr>
                <w:rFonts w:cstheme="minorHAnsi"/>
                <w:sz w:val="16"/>
                <w:szCs w:val="16"/>
              </w:rPr>
              <w:t>below</w:t>
            </w:r>
            <w:r w:rsidRPr="00771FC2">
              <w:rPr>
                <w:rFonts w:cstheme="minorHAnsi"/>
                <w:sz w:val="16"/>
                <w:szCs w:val="16"/>
              </w:rPr>
              <w:t xml:space="preserve"> </w:t>
            </w:r>
            <w:r w:rsidR="00D913BB">
              <w:rPr>
                <w:rFonts w:cstheme="minorHAnsi"/>
                <w:sz w:val="16"/>
                <w:szCs w:val="16"/>
              </w:rPr>
              <w:t xml:space="preserve">is meant to </w:t>
            </w:r>
            <w:r w:rsidR="001C7D89">
              <w:rPr>
                <w:rFonts w:cstheme="minorHAnsi"/>
                <w:sz w:val="16"/>
                <w:szCs w:val="16"/>
              </w:rPr>
              <w:t>education clients on</w:t>
            </w:r>
            <w:r w:rsidR="00ED4C5F">
              <w:rPr>
                <w:rFonts w:cstheme="minorHAnsi"/>
                <w:sz w:val="16"/>
                <w:szCs w:val="16"/>
              </w:rPr>
              <w:t xml:space="preserve"> the advantages and disadvantages of each option</w:t>
            </w:r>
            <w:r w:rsidR="001952D0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34623F" w:rsidRPr="0034623F" w14:paraId="36BD8D99" w14:textId="77777777" w:rsidTr="00A01DA3">
        <w:trPr>
          <w:trHeight w:val="345"/>
        </w:trPr>
        <w:tc>
          <w:tcPr>
            <w:tcW w:w="3600" w:type="dxa"/>
            <w:shd w:val="clear" w:color="auto" w:fill="FFFDCE"/>
            <w:vAlign w:val="center"/>
          </w:tcPr>
          <w:p w14:paraId="45EA0562" w14:textId="77777777" w:rsidR="0034623F" w:rsidRPr="0034623F" w:rsidRDefault="0034623F" w:rsidP="0034623F">
            <w:pPr>
              <w:pStyle w:val="NORMALGREY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4623F">
              <w:rPr>
                <w:rFonts w:cstheme="minorHAnsi"/>
                <w:b/>
                <w:bCs/>
                <w:sz w:val="16"/>
                <w:szCs w:val="16"/>
              </w:rPr>
              <w:t>CURRENT PLAN</w:t>
            </w:r>
          </w:p>
        </w:tc>
        <w:tc>
          <w:tcPr>
            <w:tcW w:w="2700" w:type="dxa"/>
            <w:gridSpan w:val="2"/>
            <w:shd w:val="clear" w:color="auto" w:fill="FFFDCE"/>
            <w:vAlign w:val="center"/>
          </w:tcPr>
          <w:p w14:paraId="3DDD6861" w14:textId="77777777" w:rsidR="0034623F" w:rsidRPr="0034623F" w:rsidRDefault="0034623F" w:rsidP="0034623F">
            <w:pPr>
              <w:pStyle w:val="NORMALGREY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4623F">
              <w:rPr>
                <w:rFonts w:cstheme="minorHAnsi"/>
                <w:b/>
                <w:bCs/>
                <w:sz w:val="16"/>
                <w:szCs w:val="16"/>
              </w:rPr>
              <w:t>ROLL TO AN IRA</w:t>
            </w:r>
          </w:p>
        </w:tc>
        <w:tc>
          <w:tcPr>
            <w:tcW w:w="2520" w:type="dxa"/>
            <w:shd w:val="clear" w:color="auto" w:fill="FFFDCE"/>
            <w:vAlign w:val="center"/>
          </w:tcPr>
          <w:p w14:paraId="71FA1AAA" w14:textId="77777777" w:rsidR="0034623F" w:rsidRPr="0034623F" w:rsidRDefault="0034623F" w:rsidP="0034623F">
            <w:pPr>
              <w:pStyle w:val="NORMALGREY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4623F">
              <w:rPr>
                <w:rFonts w:cstheme="minorHAnsi"/>
                <w:b/>
                <w:bCs/>
                <w:sz w:val="16"/>
                <w:szCs w:val="16"/>
              </w:rPr>
              <w:t>ROLL TO A ROTH IRA</w:t>
            </w:r>
          </w:p>
        </w:tc>
        <w:tc>
          <w:tcPr>
            <w:tcW w:w="2340" w:type="dxa"/>
            <w:shd w:val="clear" w:color="auto" w:fill="FFFDCE"/>
            <w:vAlign w:val="center"/>
          </w:tcPr>
          <w:p w14:paraId="22DDEC43" w14:textId="77777777" w:rsidR="0034623F" w:rsidRPr="0034623F" w:rsidRDefault="0034623F" w:rsidP="0034623F">
            <w:pPr>
              <w:pStyle w:val="NORMALGREY"/>
              <w:jc w:val="center"/>
              <w:rPr>
                <w:rFonts w:cstheme="minorHAnsi"/>
                <w:b/>
                <w:bCs/>
                <w:caps/>
                <w:sz w:val="16"/>
                <w:szCs w:val="16"/>
              </w:rPr>
            </w:pPr>
            <w:r w:rsidRPr="0034623F">
              <w:rPr>
                <w:rFonts w:cstheme="minorHAnsi"/>
                <w:b/>
                <w:bCs/>
                <w:sz w:val="16"/>
                <w:szCs w:val="16"/>
              </w:rPr>
              <w:t>CASH DISTRIBUTION</w:t>
            </w:r>
          </w:p>
        </w:tc>
      </w:tr>
      <w:tr w:rsidR="0034623F" w:rsidRPr="0034623F" w14:paraId="6414B21B" w14:textId="77777777" w:rsidTr="00EF6EEC">
        <w:trPr>
          <w:trHeight w:val="288"/>
        </w:trPr>
        <w:tc>
          <w:tcPr>
            <w:tcW w:w="11160" w:type="dxa"/>
            <w:gridSpan w:val="5"/>
            <w:shd w:val="clear" w:color="auto" w:fill="D3E5F6" w:themeFill="accent3" w:themeFillTint="33"/>
            <w:vAlign w:val="center"/>
          </w:tcPr>
          <w:p w14:paraId="20EDF675" w14:textId="77777777" w:rsidR="0034623F" w:rsidRPr="0034623F" w:rsidRDefault="0034623F" w:rsidP="00E15379">
            <w:pPr>
              <w:pStyle w:val="NORMALGREY"/>
              <w:rPr>
                <w:rFonts w:cstheme="minorHAnsi"/>
                <w:b/>
                <w:bCs/>
                <w:sz w:val="16"/>
                <w:szCs w:val="16"/>
              </w:rPr>
            </w:pPr>
            <w:r w:rsidRPr="0034623F">
              <w:rPr>
                <w:rFonts w:cstheme="minorHAnsi"/>
                <w:b/>
                <w:bCs/>
                <w:sz w:val="16"/>
                <w:szCs w:val="16"/>
              </w:rPr>
              <w:t>ADVANTAGES</w:t>
            </w:r>
          </w:p>
        </w:tc>
      </w:tr>
      <w:tr w:rsidR="0034623F" w:rsidRPr="00563555" w14:paraId="7D46908A" w14:textId="77777777" w:rsidTr="0034623F">
        <w:trPr>
          <w:trHeight w:val="6119"/>
        </w:trPr>
        <w:tc>
          <w:tcPr>
            <w:tcW w:w="3600" w:type="dxa"/>
            <w:shd w:val="clear" w:color="auto" w:fill="auto"/>
          </w:tcPr>
          <w:p w14:paraId="09019A37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No immediate action is required.</w:t>
            </w:r>
          </w:p>
          <w:p w14:paraId="1D85F2BE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Any earnings remain tax-deferred until you withdraw them.</w:t>
            </w:r>
          </w:p>
          <w:p w14:paraId="36BE36CB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You may have access to investment choices, loans, distribution options, and other services and features that are not available with a new 401(k) or an IRA.</w:t>
            </w:r>
          </w:p>
          <w:p w14:paraId="3A48E66F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You still have the option of rolling over to an IRA or to a 401(k) offered by a new employer in the future if the new employer's plan accepts rollovers.</w:t>
            </w:r>
          </w:p>
          <w:p w14:paraId="19BCFE41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Your former employer may offer additional services, such as investing tools and guidance.</w:t>
            </w:r>
          </w:p>
          <w:p w14:paraId="0272B37F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Under federal law, assets in a 401(k) are typically protected from claims by creditors.</w:t>
            </w:r>
          </w:p>
          <w:p w14:paraId="055CC53D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Your former employer's plan may have lower administrative and/or investment fees and expenses than a new 401(k) or an IRA.</w:t>
            </w:r>
          </w:p>
          <w:p w14:paraId="53076E2F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You may be able to take a partial distribution or receive installment payments from your former employer's plan.</w:t>
            </w:r>
          </w:p>
          <w:p w14:paraId="5F1AD44F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If you leave your job between ages 55 and 59½, you may be able to take penalty-free withdrawals.</w:t>
            </w:r>
          </w:p>
          <w:p w14:paraId="234FC40D" w14:textId="77777777" w:rsidR="0034623F" w:rsidRPr="00771FC2" w:rsidRDefault="0034623F" w:rsidP="0034623F">
            <w:pPr>
              <w:pStyle w:val="TableBullet"/>
              <w:spacing w:before="80"/>
              <w:rPr>
                <w:b/>
                <w:bCs/>
              </w:rPr>
            </w:pPr>
            <w:r w:rsidRPr="00771FC2">
              <w:t>Required minimum distributions (RMDs) may be delayed beyond age 72 if you're still working.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620E909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Your money can continue to grow tax deferred.</w:t>
            </w:r>
          </w:p>
          <w:p w14:paraId="7798CE97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You may have access to investment choices that are not available in your former employer's 401(k) or a new employer's plan.</w:t>
            </w:r>
          </w:p>
          <w:p w14:paraId="3C3A6C45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You may be able to consolidate several retirement accounts into a single IRA to simplify management.</w:t>
            </w:r>
          </w:p>
          <w:p w14:paraId="28585ED2" w14:textId="77777777" w:rsidR="0034623F" w:rsidRPr="00771FC2" w:rsidRDefault="0034623F" w:rsidP="0034623F">
            <w:pPr>
              <w:pStyle w:val="TableBullet"/>
              <w:spacing w:before="80"/>
              <w:rPr>
                <w:b/>
                <w:bCs/>
              </w:rPr>
            </w:pPr>
            <w:r w:rsidRPr="00771FC2">
              <w:t>Your IRA provider may offer additional services, such as investing tools and guidance.</w:t>
            </w:r>
          </w:p>
        </w:tc>
        <w:tc>
          <w:tcPr>
            <w:tcW w:w="2520" w:type="dxa"/>
            <w:shd w:val="clear" w:color="auto" w:fill="auto"/>
          </w:tcPr>
          <w:p w14:paraId="613A6A44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You can roll Roth 401(k) contributions and earnings directly into a Roth IRA tax-free.</w:t>
            </w:r>
          </w:p>
          <w:p w14:paraId="190B9397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Any additional contributions and earnings can grow tax-free.</w:t>
            </w:r>
          </w:p>
          <w:p w14:paraId="6C29B602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You are not required to take RMDs.</w:t>
            </w:r>
          </w:p>
          <w:p w14:paraId="173866BC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You may have more investment choices than what was available in your former employer's 401(k).</w:t>
            </w:r>
          </w:p>
          <w:p w14:paraId="69CA0573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Your Roth IRA provider may offer additional services, such as investing tools and guidance.</w:t>
            </w:r>
          </w:p>
          <w:p w14:paraId="063FEDBD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You can consolidate multiple retirement accounts into a single Roth IRA to simplify management.</w:t>
            </w:r>
          </w:p>
        </w:tc>
        <w:tc>
          <w:tcPr>
            <w:tcW w:w="2340" w:type="dxa"/>
            <w:shd w:val="clear" w:color="auto" w:fill="auto"/>
          </w:tcPr>
          <w:p w14:paraId="5D9020C8" w14:textId="77777777" w:rsidR="0034623F" w:rsidRPr="00771FC2" w:rsidRDefault="0034623F" w:rsidP="0034623F">
            <w:pPr>
              <w:pStyle w:val="TableBullet"/>
              <w:spacing w:before="80"/>
            </w:pPr>
            <w:r w:rsidRPr="00771FC2">
              <w:t>Having the cash could be helpful if you face an extraordinary financial need.</w:t>
            </w:r>
          </w:p>
        </w:tc>
      </w:tr>
      <w:tr w:rsidR="0034623F" w:rsidRPr="0034623F" w14:paraId="58B913D1" w14:textId="77777777" w:rsidTr="00EF6EEC">
        <w:trPr>
          <w:trHeight w:val="288"/>
        </w:trPr>
        <w:tc>
          <w:tcPr>
            <w:tcW w:w="11160" w:type="dxa"/>
            <w:gridSpan w:val="5"/>
            <w:shd w:val="clear" w:color="auto" w:fill="D3E5F6" w:themeFill="accent3" w:themeFillTint="33"/>
            <w:vAlign w:val="center"/>
          </w:tcPr>
          <w:p w14:paraId="1723EFF4" w14:textId="77777777" w:rsidR="0034623F" w:rsidRPr="0034623F" w:rsidRDefault="0034623F" w:rsidP="00E15379">
            <w:pPr>
              <w:pStyle w:val="NORMALGREY"/>
              <w:rPr>
                <w:rFonts w:cstheme="minorHAnsi"/>
                <w:b/>
                <w:bCs/>
                <w:sz w:val="16"/>
                <w:szCs w:val="16"/>
              </w:rPr>
            </w:pPr>
            <w:r w:rsidRPr="0034623F">
              <w:rPr>
                <w:rFonts w:cstheme="minorHAnsi"/>
                <w:b/>
                <w:bCs/>
                <w:sz w:val="16"/>
                <w:szCs w:val="16"/>
              </w:rPr>
              <w:t>DISADVANTAGES</w:t>
            </w:r>
          </w:p>
        </w:tc>
      </w:tr>
      <w:tr w:rsidR="0034623F" w:rsidRPr="00563555" w14:paraId="28F08398" w14:textId="77777777" w:rsidTr="0034623F">
        <w:trPr>
          <w:trHeight w:val="4157"/>
        </w:trPr>
        <w:tc>
          <w:tcPr>
            <w:tcW w:w="3600" w:type="dxa"/>
            <w:shd w:val="clear" w:color="auto" w:fill="auto"/>
          </w:tcPr>
          <w:p w14:paraId="4F3A3143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If you hold stock in your former employer in the plan, you may have special tax or financial planning needs you should consider before rolling over your assets to a new employer's 401(k) or an IRA.</w:t>
            </w:r>
          </w:p>
          <w:p w14:paraId="0680A63E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You can no longer contribute to a former employer's 401(k).</w:t>
            </w:r>
          </w:p>
          <w:p w14:paraId="10765645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Your range of investment choices and your ability to transfer assets among funds may be limited.</w:t>
            </w:r>
          </w:p>
          <w:p w14:paraId="26D83BF5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Managing savings left in multiple plans can be complicated.</w:t>
            </w:r>
          </w:p>
          <w:p w14:paraId="5080E3E5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The fees and expenses for your former employer's 401(k) may be higher than those for a new employer's 401(k) or an IRA.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7BB3A360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You can't borrow against an IRA as you can with a 401(k).</w:t>
            </w:r>
          </w:p>
          <w:p w14:paraId="358F9C40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You may pay annual fees or other fees for maintaining your IRA, or you may face higher investing fees, pricing, and expenses than you would with a 401(k).</w:t>
            </w:r>
          </w:p>
          <w:p w14:paraId="616A1F2F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Some investments that are offered in a 401(k) plan may not be offered in an IRA.</w:t>
            </w:r>
          </w:p>
          <w:p w14:paraId="3F3B4968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Your IRA assets are generally protected from creditors only in the case of bankruptcy.</w:t>
            </w:r>
          </w:p>
          <w:p w14:paraId="607BF3DF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Rolling over company stock may have negative tax implications.</w:t>
            </w:r>
          </w:p>
          <w:p w14:paraId="0E478ABB" w14:textId="77777777" w:rsidR="0034623F" w:rsidRPr="00771FC2" w:rsidRDefault="0034623F" w:rsidP="0034623F">
            <w:pPr>
              <w:pStyle w:val="TableBullet"/>
              <w:numPr>
                <w:ilvl w:val="0"/>
                <w:numId w:val="0"/>
              </w:numPr>
              <w:spacing w:before="80" w:after="80"/>
              <w:ind w:left="461"/>
            </w:pPr>
          </w:p>
        </w:tc>
        <w:tc>
          <w:tcPr>
            <w:tcW w:w="2520" w:type="dxa"/>
            <w:shd w:val="clear" w:color="auto" w:fill="auto"/>
          </w:tcPr>
          <w:p w14:paraId="69A1DDCE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You can't borrow against a Roth IRA as you can with a 401(k).</w:t>
            </w:r>
          </w:p>
          <w:p w14:paraId="01C718AF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Any Traditional 401(k) assets that are rolled into a Roth IRA are subject to taxes at the time of conversion.</w:t>
            </w:r>
          </w:p>
          <w:p w14:paraId="4E0A93D1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You may pay annual fees or other fees for maintaining your Roth IRA at some companies, or you may face higher investing fees, pricing, and expenses.</w:t>
            </w:r>
          </w:p>
          <w:p w14:paraId="06D59325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Some investments offered in a 401(k) plan may not be offered in a Roth IRA.</w:t>
            </w:r>
          </w:p>
          <w:p w14:paraId="5FEE0683" w14:textId="5F588731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Your IRA assets are generally protected from creditors only in the case of bankruptcy.</w:t>
            </w:r>
          </w:p>
        </w:tc>
        <w:tc>
          <w:tcPr>
            <w:tcW w:w="2340" w:type="dxa"/>
            <w:shd w:val="clear" w:color="auto" w:fill="auto"/>
          </w:tcPr>
          <w:p w14:paraId="497CC6E0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Taxes and penalties for taking a cash distribution may be substantial.</w:t>
            </w:r>
          </w:p>
          <w:p w14:paraId="52E65FCF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Withdrawals before age 59½ may be subject to a 10% early withdrawal penalty and will be taxed as ordinary income.</w:t>
            </w:r>
          </w:p>
          <w:p w14:paraId="6AF65945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Your savings will no longer grow tax deferred.</w:t>
            </w:r>
          </w:p>
          <w:p w14:paraId="07CB9A71" w14:textId="77777777" w:rsidR="0034623F" w:rsidRPr="00771FC2" w:rsidRDefault="0034623F" w:rsidP="0034623F">
            <w:pPr>
              <w:pStyle w:val="TableBullet"/>
              <w:spacing w:before="80" w:after="80"/>
            </w:pPr>
            <w:r w:rsidRPr="00771FC2">
              <w:t>Withdrawing your money may impact whether you have enough money for retirement.</w:t>
            </w:r>
          </w:p>
        </w:tc>
      </w:tr>
      <w:tr w:rsidR="0034623F" w:rsidRPr="00563555" w14:paraId="31F05A95" w14:textId="77777777" w:rsidTr="00EF6EEC">
        <w:trPr>
          <w:trHeight w:val="710"/>
        </w:trPr>
        <w:tc>
          <w:tcPr>
            <w:tcW w:w="11160" w:type="dxa"/>
            <w:gridSpan w:val="5"/>
            <w:shd w:val="clear" w:color="auto" w:fill="D9D9D9" w:themeFill="background1" w:themeFillShade="D9"/>
            <w:vAlign w:val="center"/>
          </w:tcPr>
          <w:p w14:paraId="2DF52DF2" w14:textId="78ADAAA4" w:rsidR="0034623F" w:rsidRPr="00771FC2" w:rsidRDefault="0034623F" w:rsidP="006A6135">
            <w:pPr>
              <w:pStyle w:val="NORMALGREY"/>
              <w:jc w:val="both"/>
              <w:rPr>
                <w:rFonts w:cstheme="minorHAnsi"/>
                <w:sz w:val="16"/>
                <w:szCs w:val="16"/>
              </w:rPr>
            </w:pPr>
            <w:r w:rsidRPr="00771FC2">
              <w:rPr>
                <w:rFonts w:cstheme="minorHAnsi"/>
                <w:sz w:val="16"/>
                <w:szCs w:val="16"/>
              </w:rPr>
              <w:t>By signing below, I have reviewed and understand the advantages and disadvantages of each of the available option.  In addition, I have fully discussed the available options with my Investment Adviser Representative</w:t>
            </w:r>
            <w:r w:rsidR="00E15379">
              <w:rPr>
                <w:rFonts w:cstheme="minorHAnsi"/>
                <w:sz w:val="16"/>
                <w:szCs w:val="16"/>
              </w:rPr>
              <w:t xml:space="preserve"> (IAR)</w:t>
            </w:r>
            <w:r w:rsidRPr="00771FC2">
              <w:rPr>
                <w:rFonts w:cstheme="minorHAnsi"/>
                <w:sz w:val="16"/>
                <w:szCs w:val="16"/>
              </w:rPr>
              <w:t xml:space="preserve">. My </w:t>
            </w:r>
            <w:r w:rsidR="00E15379">
              <w:rPr>
                <w:rFonts w:cstheme="minorHAnsi"/>
                <w:sz w:val="16"/>
                <w:szCs w:val="16"/>
              </w:rPr>
              <w:t>IAR</w:t>
            </w:r>
            <w:r w:rsidR="00E15379" w:rsidRPr="00771FC2">
              <w:rPr>
                <w:rFonts w:cstheme="minorHAnsi"/>
                <w:sz w:val="16"/>
                <w:szCs w:val="16"/>
              </w:rPr>
              <w:t xml:space="preserve"> </w:t>
            </w:r>
            <w:r w:rsidRPr="00771FC2">
              <w:rPr>
                <w:rFonts w:cstheme="minorHAnsi"/>
                <w:sz w:val="16"/>
                <w:szCs w:val="16"/>
              </w:rPr>
              <w:t xml:space="preserve">has provided me solely with the education to consider </w:t>
            </w:r>
            <w:r w:rsidR="00556723" w:rsidRPr="00771FC2">
              <w:rPr>
                <w:rFonts w:cstheme="minorHAnsi"/>
                <w:sz w:val="16"/>
                <w:szCs w:val="16"/>
              </w:rPr>
              <w:t>all</w:t>
            </w:r>
            <w:r w:rsidRPr="00771FC2">
              <w:rPr>
                <w:rFonts w:cstheme="minorHAnsi"/>
                <w:sz w:val="16"/>
                <w:szCs w:val="16"/>
              </w:rPr>
              <w:t xml:space="preserve"> options</w:t>
            </w:r>
            <w:r w:rsidR="00130C88">
              <w:rPr>
                <w:rFonts w:cstheme="minorHAnsi"/>
                <w:sz w:val="16"/>
                <w:szCs w:val="16"/>
              </w:rPr>
              <w:t xml:space="preserve"> and</w:t>
            </w:r>
            <w:r w:rsidRPr="00771FC2">
              <w:rPr>
                <w:rFonts w:cstheme="minorHAnsi"/>
                <w:sz w:val="16"/>
                <w:szCs w:val="16"/>
              </w:rPr>
              <w:t xml:space="preserve"> has not provided me with a recommendation</w:t>
            </w:r>
            <w:r w:rsidR="00130C88">
              <w:rPr>
                <w:rFonts w:cstheme="minorHAnsi"/>
                <w:sz w:val="16"/>
                <w:szCs w:val="16"/>
              </w:rPr>
              <w:t xml:space="preserve">.  </w:t>
            </w:r>
            <w:r w:rsidRPr="00771FC2">
              <w:rPr>
                <w:rFonts w:cstheme="minorHAnsi"/>
                <w:sz w:val="16"/>
                <w:szCs w:val="16"/>
              </w:rPr>
              <w:t>I have independently determined that I wish to proceed with transferring the assets to an IRA managed advisory account.</w:t>
            </w:r>
          </w:p>
        </w:tc>
      </w:tr>
      <w:tr w:rsidR="0034623F" w:rsidRPr="00563555" w14:paraId="41A38934" w14:textId="77777777" w:rsidTr="0034623F">
        <w:tblPrEx>
          <w:tblCellMar>
            <w:left w:w="108" w:type="dxa"/>
            <w:right w:w="108" w:type="dxa"/>
          </w:tblCellMar>
        </w:tblPrEx>
        <w:trPr>
          <w:trHeight w:val="584"/>
        </w:trPr>
        <w:tc>
          <w:tcPr>
            <w:tcW w:w="4770" w:type="dxa"/>
            <w:gridSpan w:val="2"/>
          </w:tcPr>
          <w:p w14:paraId="6CCFCC69" w14:textId="77777777" w:rsidR="0034623F" w:rsidRPr="00771FC2" w:rsidRDefault="0034623F" w:rsidP="00E15379">
            <w:pPr>
              <w:rPr>
                <w:sz w:val="16"/>
                <w:szCs w:val="16"/>
              </w:rPr>
            </w:pPr>
            <w:r w:rsidRPr="00771FC2">
              <w:rPr>
                <w:sz w:val="16"/>
                <w:szCs w:val="16"/>
              </w:rPr>
              <w:t>Print Client Name:</w:t>
            </w:r>
          </w:p>
        </w:tc>
        <w:tc>
          <w:tcPr>
            <w:tcW w:w="6390" w:type="dxa"/>
            <w:gridSpan w:val="3"/>
          </w:tcPr>
          <w:p w14:paraId="7AE1C084" w14:textId="77777777" w:rsidR="0034623F" w:rsidRPr="00771FC2" w:rsidRDefault="0034623F" w:rsidP="00E15379">
            <w:pPr>
              <w:rPr>
                <w:sz w:val="16"/>
                <w:szCs w:val="16"/>
              </w:rPr>
            </w:pPr>
            <w:r w:rsidRPr="00771FC2">
              <w:rPr>
                <w:sz w:val="16"/>
                <w:szCs w:val="16"/>
              </w:rPr>
              <w:t>Client Signature:</w:t>
            </w:r>
          </w:p>
        </w:tc>
      </w:tr>
    </w:tbl>
    <w:p w14:paraId="2D712C1E" w14:textId="77777777" w:rsidR="00E15379" w:rsidRDefault="00E15379" w:rsidP="007B255F"/>
    <w:sectPr w:rsidR="00E15379" w:rsidSect="00112F39">
      <w:pgSz w:w="12240" w:h="15840"/>
      <w:pgMar w:top="198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416D6"/>
    <w:multiLevelType w:val="multilevel"/>
    <w:tmpl w:val="8AEAA5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b/>
        <w:i w:val="0"/>
        <w:caps/>
        <w:sz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sz w:val="20"/>
        <w:u w:val="none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2520" w:firstLine="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B8861B0"/>
    <w:multiLevelType w:val="hybridMultilevel"/>
    <w:tmpl w:val="FB881362"/>
    <w:lvl w:ilvl="0" w:tplc="D75EBA0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705D3"/>
    <w:multiLevelType w:val="hybridMultilevel"/>
    <w:tmpl w:val="FDA2CCD8"/>
    <w:lvl w:ilvl="0" w:tplc="35C8A9EA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3F"/>
    <w:rsid w:val="0002335F"/>
    <w:rsid w:val="00027FD8"/>
    <w:rsid w:val="000437A2"/>
    <w:rsid w:val="000A131B"/>
    <w:rsid w:val="0010205E"/>
    <w:rsid w:val="00112F39"/>
    <w:rsid w:val="00130C88"/>
    <w:rsid w:val="00137DB6"/>
    <w:rsid w:val="001952D0"/>
    <w:rsid w:val="001C760E"/>
    <w:rsid w:val="001C7D89"/>
    <w:rsid w:val="001F123A"/>
    <w:rsid w:val="001F5673"/>
    <w:rsid w:val="0026763B"/>
    <w:rsid w:val="002B46CA"/>
    <w:rsid w:val="00330F38"/>
    <w:rsid w:val="0034623F"/>
    <w:rsid w:val="00354182"/>
    <w:rsid w:val="00360BD5"/>
    <w:rsid w:val="0036285A"/>
    <w:rsid w:val="003946E4"/>
    <w:rsid w:val="003A1109"/>
    <w:rsid w:val="003A2485"/>
    <w:rsid w:val="003E62DE"/>
    <w:rsid w:val="003F0F2D"/>
    <w:rsid w:val="004D04CF"/>
    <w:rsid w:val="00556723"/>
    <w:rsid w:val="005B6971"/>
    <w:rsid w:val="00612D82"/>
    <w:rsid w:val="00627CDC"/>
    <w:rsid w:val="00666FC3"/>
    <w:rsid w:val="006A3FE0"/>
    <w:rsid w:val="006A6135"/>
    <w:rsid w:val="006B6A7F"/>
    <w:rsid w:val="006D37E6"/>
    <w:rsid w:val="007057FC"/>
    <w:rsid w:val="00743687"/>
    <w:rsid w:val="007627E5"/>
    <w:rsid w:val="007B255F"/>
    <w:rsid w:val="007B4454"/>
    <w:rsid w:val="007C69E4"/>
    <w:rsid w:val="0081632D"/>
    <w:rsid w:val="00856747"/>
    <w:rsid w:val="00882C75"/>
    <w:rsid w:val="009A3C29"/>
    <w:rsid w:val="009E6B1D"/>
    <w:rsid w:val="00A01DA3"/>
    <w:rsid w:val="00A23190"/>
    <w:rsid w:val="00A43EE1"/>
    <w:rsid w:val="00A50348"/>
    <w:rsid w:val="00AA2E63"/>
    <w:rsid w:val="00B05C11"/>
    <w:rsid w:val="00B07047"/>
    <w:rsid w:val="00B92E02"/>
    <w:rsid w:val="00BF3C2A"/>
    <w:rsid w:val="00C071B4"/>
    <w:rsid w:val="00CD250E"/>
    <w:rsid w:val="00CF360F"/>
    <w:rsid w:val="00D913BB"/>
    <w:rsid w:val="00DB70DF"/>
    <w:rsid w:val="00E15379"/>
    <w:rsid w:val="00ED4C5F"/>
    <w:rsid w:val="00EF0AF7"/>
    <w:rsid w:val="00EF6EEC"/>
    <w:rsid w:val="00F51B51"/>
    <w:rsid w:val="00F65483"/>
    <w:rsid w:val="00F65C19"/>
    <w:rsid w:val="00F97AB2"/>
    <w:rsid w:val="00FF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4F22"/>
  <w15:chartTrackingRefBased/>
  <w15:docId w15:val="{73F76C4F-27D5-4FC0-AFAD-2523692A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23F"/>
    <w:pPr>
      <w:autoSpaceDE w:val="0"/>
      <w:autoSpaceDN w:val="0"/>
      <w:adjustRightInd w:val="0"/>
      <w:spacing w:after="0" w:line="240" w:lineRule="auto"/>
      <w:jc w:val="both"/>
    </w:pPr>
    <w:rPr>
      <w:rFonts w:eastAsia="Cambria" w:cs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3C29"/>
    <w:pPr>
      <w:pBdr>
        <w:top w:val="single" w:sz="24" w:space="0" w:color="595959" w:themeColor="text1" w:themeTint="A6"/>
        <w:left w:val="single" w:sz="24" w:space="0" w:color="595959" w:themeColor="text1" w:themeTint="A6"/>
        <w:bottom w:val="single" w:sz="24" w:space="0" w:color="595959" w:themeColor="text1" w:themeTint="A6"/>
        <w:right w:val="single" w:sz="24" w:space="0" w:color="595959" w:themeColor="text1" w:themeTint="A6"/>
      </w:pBdr>
      <w:shd w:val="clear" w:color="auto" w:fill="595959" w:themeFill="text1" w:themeFillTint="A6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C29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BodyText3"/>
    <w:next w:val="Normal"/>
    <w:link w:val="Heading3Char"/>
    <w:uiPriority w:val="9"/>
    <w:unhideWhenUsed/>
    <w:qFormat/>
    <w:rsid w:val="009A3C29"/>
    <w:pPr>
      <w:pBdr>
        <w:top w:val="single" w:sz="6" w:space="2" w:color="4A66AC" w:themeColor="accent1"/>
        <w:left w:val="single" w:sz="6" w:space="2" w:color="4A66AC" w:themeColor="accent1"/>
      </w:pBdr>
      <w:spacing w:before="300"/>
      <w:outlineLvl w:val="2"/>
    </w:pPr>
    <w:rPr>
      <w:rFonts w:eastAsia="Calibri Light"/>
      <w:b/>
      <w:caps/>
      <w:color w:val="000000" w:themeColor="text1"/>
      <w:spacing w:val="15"/>
      <w:sz w:val="20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3C29"/>
    <w:pPr>
      <w:pBdr>
        <w:top w:val="dotted" w:sz="6" w:space="2" w:color="4A66AC" w:themeColor="accent1"/>
        <w:left w:val="dotted" w:sz="6" w:space="2" w:color="4A66AC" w:themeColor="accent1"/>
      </w:pBdr>
      <w:spacing w:before="300"/>
      <w:outlineLvl w:val="3"/>
    </w:pPr>
    <w:rPr>
      <w:caps/>
      <w:color w:val="374C80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3C29"/>
    <w:pPr>
      <w:pBdr>
        <w:bottom w:val="single" w:sz="6" w:space="1" w:color="4A66AC" w:themeColor="accent1"/>
      </w:pBdr>
      <w:spacing w:before="300"/>
      <w:outlineLvl w:val="4"/>
    </w:pPr>
    <w:rPr>
      <w:caps/>
      <w:color w:val="374C80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A3C29"/>
    <w:pPr>
      <w:pBdr>
        <w:bottom w:val="dotted" w:sz="6" w:space="1" w:color="4A66AC" w:themeColor="accent1"/>
      </w:pBdr>
      <w:spacing w:before="300"/>
      <w:outlineLvl w:val="5"/>
    </w:pPr>
    <w:rPr>
      <w:caps/>
      <w:color w:val="374C80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C29"/>
    <w:pPr>
      <w:spacing w:before="300"/>
      <w:outlineLvl w:val="6"/>
    </w:pPr>
    <w:rPr>
      <w:caps/>
      <w:color w:val="374C80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C29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C2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C29"/>
    <w:rPr>
      <w:caps/>
      <w:spacing w:val="15"/>
      <w:shd w:val="clear" w:color="auto" w:fill="D9DFEF" w:themeFill="accent1" w:themeFillTint="33"/>
    </w:rPr>
  </w:style>
  <w:style w:type="paragraph" w:customStyle="1" w:styleId="Dates">
    <w:name w:val="Dates"/>
    <w:basedOn w:val="Heading1"/>
    <w:autoRedefine/>
    <w:uiPriority w:val="4"/>
    <w:rsid w:val="005B6971"/>
    <w:pPr>
      <w:jc w:val="center"/>
      <w:outlineLvl w:val="9"/>
    </w:pPr>
    <w:rPr>
      <w:rFonts w:ascii="Century Gothic" w:hAnsi="Century Gothic" w:cs="Times New Roman (Body CS)"/>
      <w:b w:val="0"/>
      <w:bCs w:val="0"/>
      <w:caps w:val="0"/>
      <w:color w:val="595959" w:themeColor="text1" w:themeTint="A6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9A3C29"/>
    <w:rPr>
      <w:b/>
      <w:bCs/>
      <w:caps/>
      <w:color w:val="FFFFFF" w:themeColor="background1"/>
      <w:spacing w:val="15"/>
      <w:shd w:val="clear" w:color="auto" w:fill="595959" w:themeFill="text1" w:themeFillTint="A6"/>
    </w:rPr>
  </w:style>
  <w:style w:type="paragraph" w:customStyle="1" w:styleId="MediumGrid21">
    <w:name w:val="Medium Grid 21"/>
    <w:uiPriority w:val="1"/>
    <w:rsid w:val="00CD250E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CD250E"/>
  </w:style>
  <w:style w:type="character" w:customStyle="1" w:styleId="BodyTextChar">
    <w:name w:val="Body Text Char"/>
    <w:basedOn w:val="DefaultParagraphFont"/>
    <w:link w:val="BodyText"/>
    <w:uiPriority w:val="99"/>
    <w:semiHidden/>
    <w:rsid w:val="00CD250E"/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9A3C29"/>
    <w:rPr>
      <w:rFonts w:eastAsia="Calibri Light"/>
      <w:b/>
      <w:caps/>
      <w:color w:val="000000" w:themeColor="text1"/>
      <w:spacing w:val="15"/>
      <w:sz w:val="20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9A3C29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9A3C29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A3C29"/>
    <w:rPr>
      <w:caps/>
      <w:color w:val="374C80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9A3C29"/>
    <w:pPr>
      <w:spacing w:before="720"/>
    </w:pPr>
    <w:rPr>
      <w:caps/>
      <w:color w:val="4A66A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3C29"/>
    <w:rPr>
      <w:caps/>
      <w:color w:val="4A66AC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9A3C29"/>
    <w:rPr>
      <w:b/>
      <w:bCs/>
    </w:rPr>
  </w:style>
  <w:style w:type="paragraph" w:styleId="NoSpacing">
    <w:name w:val="No Spacing"/>
    <w:aliases w:val="Cover Page Disclosure"/>
    <w:basedOn w:val="Normal"/>
    <w:link w:val="NoSpacingChar"/>
    <w:autoRedefine/>
    <w:uiPriority w:val="1"/>
    <w:qFormat/>
    <w:rsid w:val="009A3C29"/>
  </w:style>
  <w:style w:type="character" w:customStyle="1" w:styleId="NoSpacingChar">
    <w:name w:val="No Spacing Char"/>
    <w:aliases w:val="Cover Page Disclosure Char"/>
    <w:basedOn w:val="DefaultParagraphFont"/>
    <w:link w:val="NoSpacing"/>
    <w:uiPriority w:val="1"/>
    <w:rsid w:val="009A3C2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A3C29"/>
    <w:pPr>
      <w:numPr>
        <w:numId w:val="7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A3C29"/>
    <w:pPr>
      <w:outlineLvl w:val="9"/>
    </w:pPr>
  </w:style>
  <w:style w:type="paragraph" w:customStyle="1" w:styleId="TOCLine">
    <w:name w:val="TOC Line"/>
    <w:basedOn w:val="Normal"/>
    <w:rsid w:val="00CD250E"/>
    <w:pPr>
      <w:tabs>
        <w:tab w:val="right" w:pos="8630"/>
      </w:tabs>
      <w:spacing w:before="240"/>
    </w:pPr>
    <w:rPr>
      <w:rFonts w:ascii="Calibri" w:eastAsia="Times New Roman" w:hAnsi="Calibri"/>
      <w:b/>
      <w:bCs/>
      <w:caps/>
      <w:sz w:val="21"/>
      <w:szCs w:val="21"/>
      <w:u w:val="single"/>
    </w:rPr>
  </w:style>
  <w:style w:type="paragraph" w:customStyle="1" w:styleId="CoverPage">
    <w:name w:val="Cover Page"/>
    <w:basedOn w:val="Heading3"/>
    <w:qFormat/>
    <w:rsid w:val="009A3C29"/>
  </w:style>
  <w:style w:type="paragraph" w:customStyle="1" w:styleId="ParagraphNormal">
    <w:name w:val="Paragraph Normal"/>
    <w:basedOn w:val="BodyText"/>
    <w:autoRedefine/>
    <w:qFormat/>
    <w:rsid w:val="009A3C29"/>
    <w:pPr>
      <w:pBdr>
        <w:top w:val="nil"/>
        <w:left w:val="nil"/>
        <w:bottom w:val="nil"/>
        <w:right w:val="nil"/>
        <w:between w:val="nil"/>
        <w:bar w:val="nil"/>
      </w:pBdr>
      <w:spacing w:after="240"/>
    </w:pPr>
    <w:rPr>
      <w:rFonts w:eastAsia="Calibri"/>
      <w:color w:val="000000"/>
      <w:kern w:val="3"/>
      <w:sz w:val="24"/>
      <w:u w:color="000000"/>
      <w:bdr w:val="nil"/>
      <w:lang w:eastAsia="zh-CN" w:bidi="hi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3C29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3C29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C29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C2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C2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3C29"/>
    <w:rPr>
      <w:b/>
      <w:bCs/>
      <w:color w:val="374C80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C29"/>
    <w:pPr>
      <w:spacing w:after="1000"/>
    </w:pPr>
    <w:rPr>
      <w:caps/>
      <w:color w:val="595959" w:themeColor="text1" w:themeTint="A6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3C29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qFormat/>
    <w:rsid w:val="00360BD5"/>
    <w:rPr>
      <w:rFonts w:ascii="Calibri" w:eastAsia="Calibri" w:hAnsi="Calibri" w:cs="Calibri"/>
      <w:b/>
      <w:caps/>
      <w:color w:val="000000"/>
      <w:spacing w:val="15"/>
      <w:sz w:val="22"/>
      <w:szCs w:val="21"/>
      <w:lang w:val="en-US" w:eastAsia="zh-C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9A3C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3C2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C29"/>
    <w:pPr>
      <w:pBdr>
        <w:top w:val="single" w:sz="4" w:space="10" w:color="4A66AC" w:themeColor="accent1"/>
        <w:left w:val="single" w:sz="4" w:space="10" w:color="4A66AC" w:themeColor="accent1"/>
      </w:pBdr>
      <w:ind w:left="1296" w:right="1152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C29"/>
    <w:rPr>
      <w:i/>
      <w:iCs/>
      <w:color w:val="4A66AC" w:themeColor="accent1"/>
      <w:sz w:val="20"/>
      <w:szCs w:val="20"/>
    </w:rPr>
  </w:style>
  <w:style w:type="character" w:styleId="SubtleEmphasis">
    <w:name w:val="Subtle Emphasis"/>
    <w:uiPriority w:val="19"/>
    <w:qFormat/>
    <w:rsid w:val="009A3C29"/>
    <w:rPr>
      <w:i/>
      <w:iCs/>
      <w:color w:val="243255" w:themeColor="accent1" w:themeShade="7F"/>
    </w:rPr>
  </w:style>
  <w:style w:type="character" w:styleId="IntenseEmphasis">
    <w:name w:val="Intense Emphasis"/>
    <w:aliases w:val="Footer Intense Emphasis"/>
    <w:uiPriority w:val="21"/>
    <w:qFormat/>
    <w:rsid w:val="009A3C29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A3C29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A3C29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A3C29"/>
    <w:rPr>
      <w:b/>
      <w:bCs/>
      <w:i/>
      <w:iCs/>
      <w:spacing w:val="9"/>
    </w:rPr>
  </w:style>
  <w:style w:type="paragraph" w:customStyle="1" w:styleId="FirmTitle">
    <w:name w:val="Firm Title"/>
    <w:basedOn w:val="Normal"/>
    <w:autoRedefine/>
    <w:qFormat/>
    <w:rsid w:val="009A3C29"/>
    <w:pPr>
      <w:jc w:val="center"/>
    </w:pPr>
    <w:rPr>
      <w:sz w:val="48"/>
      <w:szCs w:val="48"/>
    </w:rPr>
  </w:style>
  <w:style w:type="paragraph" w:customStyle="1" w:styleId="BrochureTitle">
    <w:name w:val="Brochure Title"/>
    <w:basedOn w:val="NoSpacing"/>
    <w:autoRedefine/>
    <w:qFormat/>
    <w:rsid w:val="009A3C29"/>
    <w:pPr>
      <w:jc w:val="center"/>
    </w:pPr>
    <w:rPr>
      <w:rFonts w:eastAsiaTheme="majorEastAsia" w:cstheme="majorBidi"/>
      <w:b/>
      <w:caps/>
      <w:color w:val="000000" w:themeColor="text1"/>
      <w:sz w:val="36"/>
      <w:szCs w:val="48"/>
    </w:rPr>
  </w:style>
  <w:style w:type="paragraph" w:customStyle="1" w:styleId="FirmAddress">
    <w:name w:val="Firm Address"/>
    <w:basedOn w:val="Normal"/>
    <w:autoRedefine/>
    <w:qFormat/>
    <w:rsid w:val="009A3C29"/>
    <w:pPr>
      <w:jc w:val="center"/>
    </w:pPr>
    <w:rPr>
      <w:rFonts w:eastAsia="Calibri Light"/>
      <w:b/>
      <w:bCs/>
      <w:caps/>
      <w:color w:val="000000" w:themeColor="text1"/>
      <w:spacing w:val="10"/>
      <w:szCs w:val="22"/>
    </w:rPr>
  </w:style>
  <w:style w:type="table" w:styleId="TableGrid">
    <w:name w:val="Table Grid"/>
    <w:basedOn w:val="TableNormal"/>
    <w:uiPriority w:val="39"/>
    <w:rsid w:val="0034623F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GREY">
    <w:name w:val="NORMAL GREY"/>
    <w:basedOn w:val="Normal"/>
    <w:qFormat/>
    <w:rsid w:val="0034623F"/>
    <w:pPr>
      <w:jc w:val="left"/>
    </w:pPr>
    <w:rPr>
      <w:rFonts w:eastAsiaTheme="minorEastAsia" w:cstheme="minorBidi"/>
      <w:sz w:val="20"/>
      <w:szCs w:val="20"/>
    </w:rPr>
  </w:style>
  <w:style w:type="paragraph" w:customStyle="1" w:styleId="TableBullet">
    <w:name w:val="Table Bullet"/>
    <w:basedOn w:val="Normal"/>
    <w:qFormat/>
    <w:rsid w:val="0034623F"/>
    <w:pPr>
      <w:numPr>
        <w:numId w:val="8"/>
      </w:numPr>
      <w:spacing w:after="40"/>
      <w:ind w:left="461"/>
      <w:jc w:val="left"/>
    </w:pPr>
    <w:rPr>
      <w:rFonts w:eastAsiaTheme="minorEastAsia"/>
      <w:color w:val="111111"/>
      <w:sz w:val="16"/>
      <w:szCs w:val="16"/>
    </w:rPr>
  </w:style>
  <w:style w:type="paragraph" w:styleId="Revision">
    <w:name w:val="Revision"/>
    <w:hidden/>
    <w:uiPriority w:val="99"/>
    <w:semiHidden/>
    <w:rsid w:val="00882C75"/>
    <w:pPr>
      <w:spacing w:after="0" w:line="240" w:lineRule="auto"/>
    </w:pPr>
    <w:rPr>
      <w:rFonts w:eastAsia="Cambria" w:cs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eather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eathered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Craddock</dc:creator>
  <cp:keywords/>
  <dc:description/>
  <cp:lastModifiedBy>Kim Collins</cp:lastModifiedBy>
  <cp:revision>2</cp:revision>
  <dcterms:created xsi:type="dcterms:W3CDTF">2022-01-31T22:05:00Z</dcterms:created>
  <dcterms:modified xsi:type="dcterms:W3CDTF">2022-01-31T22:05:00Z</dcterms:modified>
</cp:coreProperties>
</file>