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521" w:tblpY="1519"/>
        <w:tblW w:w="11245" w:type="dxa"/>
        <w:tblLayout w:type="fixed"/>
        <w:tblLook w:val="04A0" w:firstRow="1" w:lastRow="0" w:firstColumn="1" w:lastColumn="0" w:noHBand="0" w:noVBand="1"/>
        <w:tblCaption w:val="Table"/>
        <w:tblDescription w:val="Table with checklist for a healthy lifestyle plan for each day of the week"/>
      </w:tblPr>
      <w:tblGrid>
        <w:gridCol w:w="7290"/>
        <w:gridCol w:w="1800"/>
        <w:gridCol w:w="2155"/>
      </w:tblGrid>
      <w:tr w:rsidR="00804529" w:rsidRPr="00A31DBB" w14:paraId="05AD2E90" w14:textId="77777777" w:rsidTr="009377A2">
        <w:trPr>
          <w:trHeight w:val="617"/>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5EDCF719" w:rsidR="00804529" w:rsidRPr="00A31DBB" w:rsidRDefault="00793128" w:rsidP="00A9700A">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September</w:t>
            </w:r>
            <w:r w:rsidR="00632C74">
              <w:rPr>
                <w:rFonts w:asciiTheme="majorHAnsi" w:hAnsiTheme="majorHAnsi"/>
                <w:b/>
                <w:bCs/>
                <w:i w:val="0"/>
                <w:iCs w:val="0"/>
              </w:rPr>
              <w:t xml:space="preserve"> </w:t>
            </w:r>
            <w:r w:rsidR="00804529" w:rsidRPr="00A31DBB">
              <w:rPr>
                <w:rFonts w:asciiTheme="majorHAnsi" w:hAnsiTheme="majorHAnsi"/>
                <w:b/>
                <w:bCs/>
                <w:i w:val="0"/>
                <w:iCs w:val="0"/>
              </w:rPr>
              <w:t>202</w:t>
            </w:r>
            <w:r w:rsidR="006A6575" w:rsidRPr="00A31DBB">
              <w:rPr>
                <w:rFonts w:asciiTheme="majorHAnsi" w:hAnsiTheme="majorHAnsi"/>
                <w:b/>
                <w:bCs/>
                <w:i w:val="0"/>
                <w:iCs w:val="0"/>
              </w:rPr>
              <w:t>2</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A9700A">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2155"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A9700A">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A9700A">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A9700A">
        <w:trPr>
          <w:trHeight w:val="248"/>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A9700A">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759F01B8" w:rsidR="002C104B" w:rsidRPr="00B5481B" w:rsidRDefault="002C104B" w:rsidP="00716C4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5C44B8">
              <w:rPr>
                <w:rFonts w:ascii="Century Gothic" w:hAnsi="Century Gothic"/>
                <w:b/>
                <w:bCs/>
                <w:i w:val="0"/>
                <w:iCs w:val="0"/>
              </w:rPr>
              <w:t xml:space="preserve"> - </w:t>
            </w:r>
            <w:r w:rsidRPr="00B5481B">
              <w:rPr>
                <w:rFonts w:ascii="Century Gothic" w:hAnsi="Century Gothic"/>
                <w:i w:val="0"/>
                <w:iCs w:val="0"/>
              </w:rPr>
              <w:t>Download Blotter from Custodian and review for any irregular trading patterns, trade errors, trade discrepancies or large amounts of trading in one account.</w:t>
            </w:r>
            <w:r w:rsidR="002B56B4">
              <w:rPr>
                <w:rFonts w:ascii="Century Gothic" w:hAnsi="Century Gothic"/>
                <w:i w:val="0"/>
                <w:iCs w:val="0"/>
              </w:rPr>
              <w:t xml:space="preserve"> </w:t>
            </w:r>
            <w:r w:rsidR="002B56B4">
              <w:t xml:space="preserve"> </w:t>
            </w:r>
            <w:r w:rsidR="002B56B4" w:rsidRPr="00663A0A">
              <w:rPr>
                <w:i w:val="0"/>
                <w:iCs w:val="0"/>
              </w:rPr>
              <w:t>T</w:t>
            </w:r>
            <w:r w:rsidR="002B56B4" w:rsidRPr="00663A0A">
              <w:rPr>
                <w:rFonts w:ascii="Century Gothic" w:hAnsi="Century Gothic"/>
                <w:i w:val="0"/>
                <w:iCs w:val="0"/>
              </w:rPr>
              <w:t>his</w:t>
            </w:r>
            <w:r w:rsidR="002B56B4" w:rsidRPr="002B56B4">
              <w:rPr>
                <w:rFonts w:ascii="Century Gothic" w:hAnsi="Century Gothic"/>
                <w:i w:val="0"/>
                <w:iCs w:val="0"/>
              </w:rPr>
              <w:t xml:space="preserve"> can be done weekly or monthly.</w:t>
            </w:r>
            <w:r w:rsidRPr="00B5481B">
              <w:rPr>
                <w:rFonts w:ascii="Century Gothic" w:hAnsi="Century Gothic"/>
                <w:i w:val="0"/>
                <w:iCs w:val="0"/>
              </w:rPr>
              <w:t xml:space="preserve"> </w:t>
            </w:r>
            <w:r w:rsidR="003C7E1E">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804DDF0" w14:textId="215B1811" w:rsidR="002C104B" w:rsidRDefault="002C104B" w:rsidP="00716C4A">
            <w:pPr>
              <w:pStyle w:val="table"/>
              <w:spacing w:before="120" w:after="120"/>
              <w:ind w:right="158"/>
              <w:rPr>
                <w:rFonts w:ascii="Century Gothic" w:hAnsi="Century Gothic"/>
                <w:i w:val="0"/>
                <w:iCs w:val="0"/>
              </w:rPr>
            </w:pPr>
          </w:p>
          <w:p w14:paraId="62E95890" w14:textId="0060AE21" w:rsidR="000F094A" w:rsidRPr="00B5481B" w:rsidRDefault="000F094A"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5DB0871F" w:rsidR="002C104B" w:rsidRPr="00B5481B" w:rsidRDefault="004F07FE" w:rsidP="00716C4A">
            <w:pPr>
              <w:spacing w:before="120" w:after="120" w:line="240" w:lineRule="auto"/>
              <w:ind w:right="158"/>
              <w:rPr>
                <w:rFonts w:ascii="Century Gothic" w:hAnsi="Century Gothic"/>
                <w:i w:val="0"/>
                <w:iCs w:val="0"/>
              </w:rPr>
            </w:pPr>
            <w:r>
              <w:rPr>
                <w:rFonts w:ascii="Century Gothic" w:hAnsi="Century Gothic"/>
                <w:i w:val="0"/>
                <w:iCs w:val="0"/>
              </w:rPr>
              <w:t>Use Trade Blotter Review Form.</w:t>
            </w:r>
          </w:p>
        </w:tc>
      </w:tr>
      <w:tr w:rsidR="002C104B" w:rsidRPr="004642DA" w14:paraId="027BE3ED" w14:textId="77777777" w:rsidTr="00A9700A">
        <w:trPr>
          <w:trHeight w:val="138"/>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1C276777" w:rsidR="002C104B" w:rsidRPr="000C78A0" w:rsidRDefault="002C104B" w:rsidP="00716C4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Correspondence and Email Review</w:t>
            </w:r>
            <w:r w:rsidR="005C44B8">
              <w:rPr>
                <w:rFonts w:ascii="Century Gothic" w:hAnsi="Century Gothic"/>
                <w:i w:val="0"/>
                <w:iCs w:val="0"/>
              </w:rPr>
              <w:t xml:space="preserve"> </w:t>
            </w:r>
            <w:r w:rsidR="005C44B8" w:rsidRPr="005C44B8">
              <w:rPr>
                <w:rFonts w:ascii="Century Gothic" w:hAnsi="Century Gothic"/>
                <w:b/>
                <w:bCs/>
                <w:i w:val="0"/>
                <w:iCs w:val="0"/>
              </w:rPr>
              <w:t>-</w:t>
            </w:r>
            <w:r w:rsidRPr="00B5481B">
              <w:rPr>
                <w:rFonts w:ascii="Century Gothic" w:hAnsi="Century Gothic"/>
                <w:i w:val="0"/>
                <w:iCs w:val="0"/>
              </w:rPr>
              <w:t xml:space="preserve"> Review staff</w:t>
            </w:r>
            <w:r w:rsidR="000152B8">
              <w:rPr>
                <w:rFonts w:ascii="Century Gothic" w:hAnsi="Century Gothic"/>
                <w:i w:val="0"/>
                <w:iCs w:val="0"/>
              </w:rPr>
              <w:t xml:space="preserve"> </w:t>
            </w:r>
            <w:r w:rsidRPr="00B5481B">
              <w:rPr>
                <w:rFonts w:ascii="Century Gothic" w:hAnsi="Century Gothic"/>
                <w:i w:val="0"/>
                <w:iCs w:val="0"/>
              </w:rPr>
              <w:t xml:space="preserve">correspondence, including email. </w:t>
            </w:r>
            <w:r w:rsidR="00452AEF" w:rsidRPr="00663A0A">
              <w:rPr>
                <w:i w:val="0"/>
                <w:iCs w:val="0"/>
              </w:rPr>
              <w:t xml:space="preserve"> T</w:t>
            </w:r>
            <w:r w:rsidR="00452AEF" w:rsidRPr="00663A0A">
              <w:rPr>
                <w:rFonts w:ascii="Century Gothic" w:hAnsi="Century Gothic"/>
                <w:i w:val="0"/>
                <w:iCs w:val="0"/>
              </w:rPr>
              <w:t>his</w:t>
            </w:r>
            <w:r w:rsidR="00452AEF" w:rsidRPr="002B56B4">
              <w:rPr>
                <w:rFonts w:ascii="Century Gothic" w:hAnsi="Century Gothic"/>
                <w:i w:val="0"/>
                <w:iCs w:val="0"/>
              </w:rPr>
              <w:t xml:space="preserve"> can be done weekly or monthly.</w:t>
            </w:r>
            <w:r w:rsidR="00452AEF" w:rsidRPr="00B5481B">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3EB70FEE" w:rsidR="002C104B" w:rsidRPr="00BE0EFA" w:rsidRDefault="002C104B"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716C4A">
            <w:pPr>
              <w:spacing w:before="120" w:after="120" w:line="240" w:lineRule="auto"/>
              <w:ind w:right="158"/>
              <w:rPr>
                <w:rFonts w:ascii="Century Gothic" w:hAnsi="Century Gothic"/>
                <w:i w:val="0"/>
                <w:iCs w:val="0"/>
              </w:rPr>
            </w:pPr>
          </w:p>
        </w:tc>
      </w:tr>
      <w:tr w:rsidR="00107A2A" w:rsidRPr="004642DA" w14:paraId="33F22D5E" w14:textId="77777777" w:rsidTr="00A9700A">
        <w:trPr>
          <w:trHeight w:val="307"/>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716C4A">
            <w:pPr>
              <w:spacing w:before="120" w:after="12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7F5FC5C6" w:rsidR="002C104B" w:rsidRPr="002A7C10" w:rsidRDefault="002C104B" w:rsidP="00716C4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5C44B8">
              <w:rPr>
                <w:rFonts w:ascii="Century Gothic" w:hAnsi="Century Gothic"/>
                <w:b/>
                <w:bCs/>
                <w:i w:val="0"/>
                <w:iCs w:val="0"/>
              </w:rPr>
              <w:t xml:space="preserve"> -</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r w:rsidRPr="00DB7154">
              <w:rPr>
                <w:rFonts w:ascii="Century Gothic" w:hAnsi="Century Gothic"/>
              </w:rPr>
              <w:t>.</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0FEAE971" w:rsidR="002C104B" w:rsidRPr="00BE0EFA" w:rsidRDefault="002C104B"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716C4A">
            <w:pPr>
              <w:spacing w:before="120" w:after="120" w:line="240" w:lineRule="auto"/>
              <w:ind w:right="158"/>
              <w:rPr>
                <w:rFonts w:ascii="Century Gothic" w:hAnsi="Century Gothic"/>
                <w:i w:val="0"/>
                <w:iCs w:val="0"/>
              </w:rPr>
            </w:pPr>
          </w:p>
        </w:tc>
      </w:tr>
      <w:tr w:rsidR="002C104B" w:rsidRPr="004642DA" w14:paraId="736E57DB" w14:textId="77777777" w:rsidTr="00A9700A">
        <w:trPr>
          <w:trHeight w:val="372"/>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716C4A">
            <w:pPr>
              <w:spacing w:before="120" w:after="12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356294" w:rsidRPr="00B5481B" w14:paraId="08240931" w14:textId="77777777" w:rsidTr="00A9700A">
        <w:trPr>
          <w:trHeight w:val="831"/>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D1F47F" w14:textId="4CD49EB6" w:rsidR="00356294" w:rsidRPr="00D000CE" w:rsidRDefault="00D000CE" w:rsidP="00D000CE">
            <w:pPr>
              <w:spacing w:before="120" w:after="120" w:line="240" w:lineRule="auto"/>
              <w:ind w:right="72"/>
              <w:jc w:val="both"/>
              <w:rPr>
                <w:rFonts w:ascii="Century Gothic" w:hAnsi="Century Gothic"/>
                <w:b/>
                <w:bCs/>
                <w:i w:val="0"/>
                <w:iCs w:val="0"/>
              </w:rPr>
            </w:pPr>
            <w:r w:rsidRPr="00D000CE">
              <w:rPr>
                <w:rFonts w:ascii="Century Gothic" w:hAnsi="Century Gothic"/>
                <w:b/>
                <w:bCs/>
                <w:i w:val="0"/>
                <w:iCs w:val="0"/>
              </w:rPr>
              <w:t>Mutual Fund Share Class Review</w:t>
            </w:r>
            <w:r>
              <w:rPr>
                <w:rFonts w:ascii="Century Gothic" w:hAnsi="Century Gothic"/>
                <w:b/>
                <w:bCs/>
                <w:i w:val="0"/>
                <w:iCs w:val="0"/>
              </w:rPr>
              <w:t xml:space="preserve">- </w:t>
            </w:r>
            <w:r w:rsidRPr="00D000CE">
              <w:rPr>
                <w:rFonts w:ascii="Century Gothic" w:hAnsi="Century Gothic"/>
                <w:i w:val="0"/>
                <w:iCs w:val="0"/>
              </w:rPr>
              <w:t>Are your firms mutual fund holdings in the lowest available share class?  If not, be sure there is documentation on the rationale for holding the higher share class.</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420A4E92" w:rsidR="00356294" w:rsidRPr="00B5481B" w:rsidRDefault="00356294"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356294" w:rsidRPr="00B5481B" w:rsidRDefault="00356294" w:rsidP="00716C4A">
            <w:pPr>
              <w:spacing w:before="120" w:after="120" w:line="240" w:lineRule="auto"/>
              <w:ind w:right="158"/>
              <w:rPr>
                <w:rFonts w:ascii="Century Gothic" w:hAnsi="Century Gothic"/>
                <w:i w:val="0"/>
                <w:iCs w:val="0"/>
              </w:rPr>
            </w:pPr>
          </w:p>
        </w:tc>
      </w:tr>
      <w:tr w:rsidR="00356294" w:rsidRPr="00B5481B" w14:paraId="6FC4FF6E" w14:textId="77777777" w:rsidTr="00A9700A">
        <w:trPr>
          <w:trHeight w:val="831"/>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1C4E3ADF" w:rsidR="00356294" w:rsidRPr="003B16A3" w:rsidRDefault="003B16A3" w:rsidP="003B16A3">
            <w:pPr>
              <w:pStyle w:val="table"/>
              <w:tabs>
                <w:tab w:val="left" w:pos="3343"/>
              </w:tabs>
              <w:spacing w:before="120" w:after="120"/>
              <w:ind w:right="158"/>
              <w:jc w:val="both"/>
              <w:rPr>
                <w:rFonts w:ascii="Century Gothic" w:hAnsi="Century Gothic"/>
                <w:b/>
                <w:bCs/>
                <w:i w:val="0"/>
                <w:iCs w:val="0"/>
              </w:rPr>
            </w:pPr>
            <w:r w:rsidRPr="003B16A3">
              <w:rPr>
                <w:rFonts w:ascii="Century Gothic" w:hAnsi="Century Gothic"/>
                <w:b/>
                <w:bCs/>
                <w:i w:val="0"/>
                <w:iCs w:val="0"/>
              </w:rPr>
              <w:t>Quarterly Review of States</w:t>
            </w:r>
            <w:r>
              <w:rPr>
                <w:rFonts w:ascii="Century Gothic" w:hAnsi="Century Gothic"/>
                <w:b/>
                <w:bCs/>
                <w:i w:val="0"/>
                <w:iCs w:val="0"/>
              </w:rPr>
              <w:t xml:space="preserve">- </w:t>
            </w:r>
            <w:r w:rsidRPr="003B16A3">
              <w:rPr>
                <w:rFonts w:ascii="Century Gothic" w:hAnsi="Century Gothic"/>
                <w:i w:val="0"/>
                <w:iCs w:val="0"/>
              </w:rPr>
              <w:t xml:space="preserve">Are you properly notice filed?  You will need to be notice filed in any state where you have more than 5 households.  The exceptions to this rule are the following states: Texas, Louisiana, New Hampshire, and Nebraska.  Each of these states require notice filing when </w:t>
            </w:r>
            <w:r w:rsidR="00451101" w:rsidRPr="003B16A3">
              <w:rPr>
                <w:rFonts w:ascii="Century Gothic" w:hAnsi="Century Gothic"/>
                <w:i w:val="0"/>
                <w:iCs w:val="0"/>
              </w:rPr>
              <w:t>1 household</w:t>
            </w:r>
            <w:r w:rsidRPr="003B16A3">
              <w:rPr>
                <w:rFonts w:ascii="Century Gothic" w:hAnsi="Century Gothic"/>
                <w:i w:val="0"/>
                <w:iCs w:val="0"/>
              </w:rPr>
              <w:t xml:space="preserve"> is present.  Send a list of states that require notice filing to CRP so they can update your ADV accordingly.</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20750B8F" w:rsidR="00356294" w:rsidRPr="00B5481B" w:rsidRDefault="00356294"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356294" w:rsidRPr="00B5481B" w:rsidRDefault="00356294" w:rsidP="00716C4A">
            <w:pPr>
              <w:spacing w:before="120" w:after="120" w:line="240" w:lineRule="auto"/>
              <w:ind w:right="158"/>
              <w:rPr>
                <w:rFonts w:ascii="Century Gothic" w:hAnsi="Century Gothic"/>
                <w:i w:val="0"/>
                <w:iCs w:val="0"/>
              </w:rPr>
            </w:pPr>
          </w:p>
        </w:tc>
      </w:tr>
      <w:tr w:rsidR="00356294" w:rsidRPr="00B5481B" w14:paraId="74F3A485" w14:textId="77777777" w:rsidTr="00451101">
        <w:trPr>
          <w:trHeight w:val="140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52B0B97" w14:textId="70ACF036" w:rsidR="00356294" w:rsidRPr="00FC45D8" w:rsidRDefault="00FC45D8" w:rsidP="00FC45D8">
            <w:pPr>
              <w:pStyle w:val="table"/>
              <w:tabs>
                <w:tab w:val="left" w:pos="3343"/>
              </w:tabs>
              <w:spacing w:before="120" w:after="120"/>
              <w:ind w:right="158"/>
              <w:jc w:val="both"/>
              <w:rPr>
                <w:rFonts w:ascii="Century Gothic" w:hAnsi="Century Gothic"/>
                <w:b/>
                <w:bCs/>
                <w:i w:val="0"/>
                <w:iCs w:val="0"/>
              </w:rPr>
            </w:pPr>
            <w:r w:rsidRPr="00FC45D8">
              <w:rPr>
                <w:rFonts w:ascii="Century Gothic" w:hAnsi="Century Gothic"/>
                <w:b/>
                <w:bCs/>
                <w:i w:val="0"/>
                <w:iCs w:val="0"/>
              </w:rPr>
              <w:t>Review Cash Balance Report</w:t>
            </w:r>
            <w:r>
              <w:rPr>
                <w:rFonts w:ascii="Century Gothic" w:hAnsi="Century Gothic"/>
                <w:b/>
                <w:bCs/>
                <w:i w:val="0"/>
                <w:iCs w:val="0"/>
              </w:rPr>
              <w:t xml:space="preserve">- </w:t>
            </w:r>
            <w:r w:rsidRPr="00FC45D8">
              <w:rPr>
                <w:rFonts w:ascii="Century Gothic" w:hAnsi="Century Gothic"/>
                <w:i w:val="0"/>
                <w:iCs w:val="0"/>
              </w:rPr>
              <w:t>Review cash balance report to determine if there is enough cash for fees or if there is too much cash and funds need to be invested. Be mindful of scheduled distributions. Perform random performance review and take note and action on any abnormal or unusual balances.</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F68A4DB" w14:textId="77777777" w:rsidR="00356294" w:rsidRDefault="00356294" w:rsidP="0051019B">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C8928EB" w14:textId="520B7EE1" w:rsidR="00356294" w:rsidRPr="00B5481B" w:rsidRDefault="005640DB" w:rsidP="0051019B">
            <w:pPr>
              <w:spacing w:before="120" w:after="120" w:line="240" w:lineRule="auto"/>
              <w:ind w:right="158"/>
              <w:rPr>
                <w:rFonts w:ascii="Century Gothic" w:hAnsi="Century Gothic"/>
                <w:i w:val="0"/>
                <w:iCs w:val="0"/>
              </w:rPr>
            </w:pPr>
            <w:r>
              <w:rPr>
                <w:rFonts w:ascii="Century Gothic" w:hAnsi="Century Gothic"/>
                <w:i w:val="0"/>
                <w:iCs w:val="0"/>
              </w:rPr>
              <w:t xml:space="preserve"> </w:t>
            </w:r>
          </w:p>
        </w:tc>
      </w:tr>
      <w:tr w:rsidR="00FB590B" w:rsidRPr="004642DA" w14:paraId="3D3376B4" w14:textId="77777777" w:rsidTr="00A9700A">
        <w:trPr>
          <w:trHeight w:val="226"/>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52E5303" w14:textId="383985CE" w:rsidR="00FB590B" w:rsidRPr="00B3452E" w:rsidRDefault="00FB590B" w:rsidP="00716C4A">
            <w:pPr>
              <w:spacing w:before="120" w:after="120" w:line="240" w:lineRule="auto"/>
              <w:ind w:right="158"/>
              <w:jc w:val="both"/>
              <w:rPr>
                <w:rFonts w:ascii="Century Gothic" w:hAnsi="Century Gothic"/>
                <w:b/>
                <w:bCs/>
                <w:i w:val="0"/>
                <w:iCs w:val="0"/>
              </w:rPr>
            </w:pPr>
            <w:r>
              <w:rPr>
                <w:rFonts w:ascii="Century Gothic" w:hAnsi="Century Gothic"/>
                <w:b/>
                <w:bCs/>
                <w:i w:val="0"/>
                <w:iCs w:val="0"/>
              </w:rPr>
              <w:t>Frequency: Annually</w:t>
            </w:r>
          </w:p>
        </w:tc>
      </w:tr>
      <w:tr w:rsidR="00E17FD7" w:rsidRPr="00B5481B" w14:paraId="74885785"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D20011" w14:textId="68678683" w:rsidR="00E17FD7" w:rsidRPr="00E17FD7" w:rsidRDefault="00E17FD7" w:rsidP="00E17FD7">
            <w:pPr>
              <w:pStyle w:val="table"/>
              <w:tabs>
                <w:tab w:val="left" w:pos="3343"/>
              </w:tabs>
              <w:spacing w:before="120" w:after="120"/>
              <w:ind w:right="158"/>
              <w:jc w:val="both"/>
              <w:rPr>
                <w:rFonts w:ascii="Century Gothic" w:hAnsi="Century Gothic"/>
                <w:i w:val="0"/>
                <w:iCs w:val="0"/>
              </w:rPr>
            </w:pPr>
            <w:r w:rsidRPr="00E17FD7">
              <w:rPr>
                <w:rFonts w:ascii="Century Gothic" w:hAnsi="Century Gothic"/>
                <w:b/>
                <w:bCs/>
                <w:i w:val="0"/>
                <w:iCs w:val="0"/>
              </w:rPr>
              <w:t xml:space="preserve">Create CRP Client Portal Account- </w:t>
            </w:r>
            <w:r w:rsidRPr="00E17FD7">
              <w:rPr>
                <w:rFonts w:ascii="Century Gothic" w:hAnsi="Century Gothic"/>
                <w:i w:val="0"/>
                <w:iCs w:val="0"/>
              </w:rPr>
              <w:t>Did you know you can access all of CRP documents and publications through our new client portal? Be sure to sign up so you can access our information anytime you want!</w:t>
            </w:r>
          </w:p>
          <w:p w14:paraId="1B6DF875" w14:textId="13592F65" w:rsidR="00E17FD7" w:rsidRPr="005640DB" w:rsidRDefault="00E17FD7" w:rsidP="00E17FD7">
            <w:pPr>
              <w:pStyle w:val="table"/>
              <w:tabs>
                <w:tab w:val="left" w:pos="3343"/>
              </w:tabs>
              <w:spacing w:before="120" w:after="120"/>
              <w:ind w:right="158"/>
              <w:jc w:val="both"/>
              <w:rPr>
                <w:rFonts w:ascii="Century Gothic" w:hAnsi="Century Gothic"/>
                <w:b/>
                <w:bCs/>
                <w:i w:val="0"/>
                <w:iCs w:val="0"/>
              </w:rPr>
            </w:pPr>
            <w:r w:rsidRPr="00E17FD7">
              <w:rPr>
                <w:rFonts w:ascii="Century Gothic" w:hAnsi="Century Gothic"/>
                <w:i w:val="0"/>
                <w:iCs w:val="0"/>
              </w:rPr>
              <w:t>Please go to https://www.thecomplianceresource.com/ and select "Client Portal" and follow the prompts for "Sign Up".</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4E16776" w14:textId="77777777" w:rsidR="00E17FD7" w:rsidRPr="00B5481B" w:rsidRDefault="00E17FD7"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64AF43B" w14:textId="77777777" w:rsidR="00E17FD7" w:rsidRDefault="00E17FD7" w:rsidP="00716C4A">
            <w:pPr>
              <w:spacing w:before="120" w:after="120" w:line="240" w:lineRule="auto"/>
              <w:ind w:right="158"/>
              <w:rPr>
                <w:rFonts w:ascii="Century Gothic" w:hAnsi="Century Gothic"/>
                <w:i w:val="0"/>
                <w:iCs w:val="0"/>
              </w:rPr>
            </w:pPr>
          </w:p>
        </w:tc>
      </w:tr>
      <w:tr w:rsidR="00FB590B" w:rsidRPr="00B5481B" w14:paraId="3D613F90"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05799B35" w:rsidR="00FB590B" w:rsidRPr="00B5481B" w:rsidRDefault="005640DB" w:rsidP="005640DB">
            <w:pPr>
              <w:pStyle w:val="table"/>
              <w:tabs>
                <w:tab w:val="left" w:pos="3343"/>
              </w:tabs>
              <w:spacing w:before="120" w:after="120"/>
              <w:ind w:right="158"/>
              <w:jc w:val="both"/>
              <w:rPr>
                <w:rFonts w:ascii="Century Gothic" w:hAnsi="Century Gothic"/>
                <w:b/>
                <w:bCs/>
                <w:i w:val="0"/>
                <w:iCs w:val="0"/>
              </w:rPr>
            </w:pPr>
            <w:r w:rsidRPr="005640DB">
              <w:rPr>
                <w:rFonts w:ascii="Century Gothic" w:hAnsi="Century Gothic"/>
                <w:b/>
                <w:bCs/>
                <w:i w:val="0"/>
                <w:iCs w:val="0"/>
              </w:rPr>
              <w:t>Review of Solicitors</w:t>
            </w:r>
            <w:r>
              <w:rPr>
                <w:rFonts w:ascii="Century Gothic" w:hAnsi="Century Gothic"/>
                <w:b/>
                <w:bCs/>
                <w:i w:val="0"/>
                <w:iCs w:val="0"/>
              </w:rPr>
              <w:t xml:space="preserve">- </w:t>
            </w:r>
            <w:r w:rsidRPr="005640DB">
              <w:rPr>
                <w:rFonts w:ascii="Century Gothic" w:hAnsi="Century Gothic"/>
                <w:i w:val="0"/>
                <w:iCs w:val="0"/>
              </w:rPr>
              <w:t>Review of solicitor relationships, agreements and ensure client disclosure statements are being reviewed and retained.</w:t>
            </w:r>
            <w:r w:rsidR="00685E0C">
              <w:rPr>
                <w:rFonts w:ascii="Century Gothic" w:hAnsi="Century Gothic"/>
                <w:i w:val="0"/>
                <w:iCs w:val="0"/>
              </w:rPr>
              <w:t xml:space="preserve">  </w:t>
            </w:r>
            <w:r w:rsidR="00685E0C" w:rsidRPr="009377A2">
              <w:rPr>
                <w:rFonts w:ascii="Century Gothic" w:hAnsi="Century Gothic"/>
                <w:i w:val="0"/>
                <w:iCs w:val="0"/>
                <w:color w:val="C00000"/>
              </w:rPr>
              <w:t>Update Agreements to new Promo</w:t>
            </w:r>
            <w:r w:rsidR="009377A2">
              <w:rPr>
                <w:rFonts w:ascii="Century Gothic" w:hAnsi="Century Gothic"/>
                <w:i w:val="0"/>
                <w:iCs w:val="0"/>
                <w:color w:val="C00000"/>
              </w:rPr>
              <w:t xml:space="preserve">tor Agreement in preparation for new Marketing Rule updates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DF5485" w14:textId="10F88C2F" w:rsidR="00FB590B" w:rsidRPr="00B5481B" w:rsidRDefault="00FB590B"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4EB94DC3" w:rsidR="00FB590B" w:rsidRPr="00B5481B" w:rsidRDefault="005640DB" w:rsidP="00716C4A">
            <w:pPr>
              <w:spacing w:before="120" w:after="120" w:line="240" w:lineRule="auto"/>
              <w:ind w:right="158"/>
              <w:rPr>
                <w:rFonts w:ascii="Century Gothic" w:hAnsi="Century Gothic"/>
                <w:i w:val="0"/>
                <w:iCs w:val="0"/>
              </w:rPr>
            </w:pPr>
            <w:r>
              <w:rPr>
                <w:rFonts w:ascii="Century Gothic" w:hAnsi="Century Gothic"/>
                <w:i w:val="0"/>
                <w:iCs w:val="0"/>
              </w:rPr>
              <w:t xml:space="preserve"> </w:t>
            </w:r>
          </w:p>
        </w:tc>
      </w:tr>
      <w:tr w:rsidR="00A95F1D" w:rsidRPr="00B5481B" w14:paraId="1D7FD8D0"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06D6F12" w14:textId="00352CE5" w:rsidR="00A95F1D" w:rsidRPr="000C78A0" w:rsidRDefault="00E161FC" w:rsidP="00E161FC">
            <w:pPr>
              <w:pStyle w:val="table"/>
              <w:tabs>
                <w:tab w:val="left" w:pos="3343"/>
              </w:tabs>
              <w:spacing w:before="120" w:after="120"/>
              <w:ind w:right="158"/>
              <w:jc w:val="both"/>
              <w:rPr>
                <w:rFonts w:ascii="Century Gothic" w:hAnsi="Century Gothic"/>
                <w:b/>
                <w:bCs/>
                <w:i w:val="0"/>
                <w:iCs w:val="0"/>
              </w:rPr>
            </w:pPr>
            <w:r w:rsidRPr="00E161FC">
              <w:rPr>
                <w:rFonts w:ascii="Century Gothic" w:hAnsi="Century Gothic"/>
                <w:b/>
                <w:bCs/>
                <w:i w:val="0"/>
                <w:iCs w:val="0"/>
              </w:rPr>
              <w:t>Review Part 2A and Client Agreements</w:t>
            </w:r>
            <w:r>
              <w:rPr>
                <w:rFonts w:ascii="Century Gothic" w:hAnsi="Century Gothic"/>
                <w:b/>
                <w:bCs/>
                <w:i w:val="0"/>
                <w:iCs w:val="0"/>
              </w:rPr>
              <w:t xml:space="preserve">- </w:t>
            </w:r>
            <w:r w:rsidRPr="00E161FC">
              <w:rPr>
                <w:rFonts w:ascii="Century Gothic" w:hAnsi="Century Gothic"/>
                <w:i w:val="0"/>
                <w:iCs w:val="0"/>
              </w:rPr>
              <w:t>Review of Part 2A and client agreements for accuracy and consistency between documents</w:t>
            </w:r>
            <w:r w:rsidR="00451101">
              <w:rPr>
                <w:rFonts w:ascii="Century Gothic" w:hAnsi="Century Gothic"/>
                <w:i w:val="0"/>
                <w:iCs w:val="0"/>
              </w:rPr>
              <w:t>.</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14AB50B" w14:textId="77777777" w:rsidR="00A95F1D" w:rsidRPr="00B5481B" w:rsidRDefault="00A95F1D"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A1046FB" w14:textId="616417D8" w:rsidR="00A95F1D" w:rsidRPr="00B5481B" w:rsidRDefault="00E161FC" w:rsidP="00716C4A">
            <w:pPr>
              <w:spacing w:before="120" w:after="120" w:line="240" w:lineRule="auto"/>
              <w:ind w:right="158"/>
              <w:rPr>
                <w:rFonts w:ascii="Century Gothic" w:hAnsi="Century Gothic"/>
                <w:i w:val="0"/>
                <w:iCs w:val="0"/>
              </w:rPr>
            </w:pPr>
            <w:r>
              <w:rPr>
                <w:rFonts w:ascii="Century Gothic" w:hAnsi="Century Gothic"/>
                <w:i w:val="0"/>
                <w:iCs w:val="0"/>
              </w:rPr>
              <w:t xml:space="preserve"> </w:t>
            </w:r>
          </w:p>
        </w:tc>
      </w:tr>
      <w:tr w:rsidR="00A95F1D" w:rsidRPr="00B5481B" w14:paraId="329C0B6D"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1634BD1" w14:textId="4E3F106F" w:rsidR="00A95F1D" w:rsidRPr="000C78A0" w:rsidRDefault="004B7CBF" w:rsidP="004B7CBF">
            <w:pPr>
              <w:pStyle w:val="table"/>
              <w:tabs>
                <w:tab w:val="left" w:pos="3343"/>
              </w:tabs>
              <w:spacing w:before="120" w:after="120"/>
              <w:ind w:right="158"/>
              <w:jc w:val="both"/>
              <w:rPr>
                <w:rFonts w:ascii="Century Gothic" w:hAnsi="Century Gothic"/>
                <w:b/>
                <w:bCs/>
                <w:i w:val="0"/>
                <w:iCs w:val="0"/>
              </w:rPr>
            </w:pPr>
            <w:r w:rsidRPr="004B7CBF">
              <w:rPr>
                <w:rFonts w:ascii="Century Gothic" w:hAnsi="Century Gothic"/>
                <w:b/>
                <w:bCs/>
                <w:i w:val="0"/>
                <w:iCs w:val="0"/>
              </w:rPr>
              <w:lastRenderedPageBreak/>
              <w:t>Supervised Person Revie</w:t>
            </w:r>
            <w:r>
              <w:rPr>
                <w:rFonts w:ascii="Century Gothic" w:hAnsi="Century Gothic"/>
                <w:b/>
                <w:bCs/>
                <w:i w:val="0"/>
                <w:iCs w:val="0"/>
              </w:rPr>
              <w:t>w (semi-annually)-</w:t>
            </w:r>
            <w:r w:rsidRPr="004B7CBF">
              <w:rPr>
                <w:rFonts w:ascii="Century Gothic" w:hAnsi="Century Gothic"/>
                <w:i w:val="0"/>
                <w:iCs w:val="0"/>
              </w:rPr>
              <w:t xml:space="preserve"> CCO should maintain an </w:t>
            </w:r>
            <w:r w:rsidR="00451101" w:rsidRPr="004B7CBF">
              <w:rPr>
                <w:rFonts w:ascii="Century Gothic" w:hAnsi="Century Gothic"/>
                <w:i w:val="0"/>
                <w:iCs w:val="0"/>
              </w:rPr>
              <w:t>up-to-date</w:t>
            </w:r>
            <w:r w:rsidRPr="004B7CBF">
              <w:rPr>
                <w:rFonts w:ascii="Century Gothic" w:hAnsi="Century Gothic"/>
                <w:i w:val="0"/>
                <w:iCs w:val="0"/>
              </w:rPr>
              <w:t xml:space="preserve"> list of access persons pursuant to the firm's Code of Ethics.  This list/roster of access persons should be reviewed </w:t>
            </w:r>
            <w:r w:rsidR="00451101" w:rsidRPr="004B7CBF">
              <w:rPr>
                <w:rFonts w:ascii="Century Gothic" w:hAnsi="Century Gothic"/>
                <w:i w:val="0"/>
                <w:iCs w:val="0"/>
              </w:rPr>
              <w:t>semi-annually</w:t>
            </w:r>
            <w:r w:rsidRPr="004B7CBF">
              <w:rPr>
                <w:rFonts w:ascii="Century Gothic" w:hAnsi="Century Gothic"/>
                <w:i w:val="0"/>
                <w:iCs w:val="0"/>
              </w:rPr>
              <w:t>.</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9603F74" w14:textId="77777777" w:rsidR="00A95F1D" w:rsidRPr="00B5481B" w:rsidRDefault="00A95F1D"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6F3DA0" w14:textId="24B3194E" w:rsidR="00A95F1D" w:rsidRPr="00B5481B" w:rsidRDefault="004B7CBF" w:rsidP="00716C4A">
            <w:pPr>
              <w:spacing w:before="120" w:after="120" w:line="240" w:lineRule="auto"/>
              <w:ind w:right="158"/>
              <w:rPr>
                <w:rFonts w:ascii="Century Gothic" w:hAnsi="Century Gothic"/>
                <w:i w:val="0"/>
                <w:iCs w:val="0"/>
              </w:rPr>
            </w:pPr>
            <w:r>
              <w:rPr>
                <w:rFonts w:ascii="Century Gothic" w:hAnsi="Century Gothic"/>
                <w:i w:val="0"/>
                <w:iCs w:val="0"/>
              </w:rPr>
              <w:t xml:space="preserve"> </w:t>
            </w:r>
            <w:r w:rsidR="00D6508F">
              <w:rPr>
                <w:rFonts w:ascii="Century Gothic" w:hAnsi="Century Gothic"/>
                <w:i w:val="0"/>
                <w:iCs w:val="0"/>
              </w:rPr>
              <w:t xml:space="preserve"> </w:t>
            </w:r>
          </w:p>
        </w:tc>
      </w:tr>
      <w:tr w:rsidR="00A95F1D" w:rsidRPr="00B5481B" w14:paraId="7C723BB9" w14:textId="77777777" w:rsidTr="00451101">
        <w:trPr>
          <w:trHeight w:val="833"/>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4CB40EF" w14:textId="146F15A5" w:rsidR="00A95F1D" w:rsidRPr="00E67F0C" w:rsidRDefault="00451101" w:rsidP="00451101">
            <w:pPr>
              <w:pStyle w:val="table"/>
              <w:tabs>
                <w:tab w:val="left" w:pos="3343"/>
              </w:tabs>
              <w:spacing w:before="120" w:after="120"/>
              <w:ind w:right="158"/>
              <w:jc w:val="both"/>
              <w:rPr>
                <w:rFonts w:ascii="Century Gothic" w:hAnsi="Century Gothic"/>
                <w:b/>
                <w:bCs/>
                <w:i w:val="0"/>
                <w:iCs w:val="0"/>
              </w:rPr>
            </w:pPr>
            <w:r w:rsidRPr="00451101">
              <w:rPr>
                <w:rFonts w:ascii="Century Gothic" w:hAnsi="Century Gothic"/>
                <w:b/>
                <w:bCs/>
                <w:i w:val="0"/>
                <w:iCs w:val="0"/>
              </w:rPr>
              <w:t>Verify E &amp; O Coverage</w:t>
            </w:r>
            <w:r>
              <w:rPr>
                <w:rFonts w:ascii="Century Gothic" w:hAnsi="Century Gothic"/>
                <w:b/>
                <w:bCs/>
                <w:i w:val="0"/>
                <w:iCs w:val="0"/>
              </w:rPr>
              <w:t xml:space="preserve">- </w:t>
            </w:r>
            <w:r w:rsidRPr="00451101">
              <w:rPr>
                <w:rFonts w:ascii="Century Gothic" w:hAnsi="Century Gothic"/>
                <w:i w:val="0"/>
                <w:iCs w:val="0"/>
              </w:rPr>
              <w:t>Confirm E &amp; O coverage is appropriate for the services provided and the current registered personnel.</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486EC76" w14:textId="77777777" w:rsidR="00A95F1D" w:rsidRPr="00B5481B" w:rsidRDefault="00A95F1D"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2A4A54" w14:textId="77777777" w:rsidR="00A95F1D" w:rsidRPr="00B5481B" w:rsidRDefault="00A95F1D" w:rsidP="00716C4A">
            <w:pPr>
              <w:spacing w:before="120" w:after="120" w:line="240" w:lineRule="auto"/>
              <w:ind w:right="158"/>
              <w:rPr>
                <w:rFonts w:ascii="Century Gothic" w:hAnsi="Century Gothic"/>
                <w:i w:val="0"/>
                <w:iCs w:val="0"/>
              </w:rPr>
            </w:pPr>
          </w:p>
        </w:tc>
      </w:tr>
    </w:tbl>
    <w:p w14:paraId="0FE1FB51" w14:textId="6D694D3D" w:rsidR="00FF1974" w:rsidRPr="00286EBA" w:rsidRDefault="00FF1974" w:rsidP="00716C4A">
      <w:pPr>
        <w:spacing w:before="120" w:after="120" w:line="240" w:lineRule="auto"/>
        <w:rPr>
          <w:b/>
          <w:bCs/>
          <w:i w:val="0"/>
          <w:iCs w:val="0"/>
          <w:color w:val="000000" w:themeColor="text1"/>
          <w:sz w:val="22"/>
          <w:szCs w:val="22"/>
        </w:rPr>
      </w:pPr>
    </w:p>
    <w:sectPr w:rsidR="00FF1974" w:rsidRPr="00286EBA" w:rsidSect="00FC1234">
      <w:headerReference w:type="default" r:id="rId11"/>
      <w:footerReference w:type="even" r:id="rId12"/>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7C21" w14:textId="77777777" w:rsidR="004171BB" w:rsidRDefault="004171BB" w:rsidP="00C72A58">
      <w:pPr>
        <w:spacing w:after="0" w:line="240" w:lineRule="auto"/>
      </w:pPr>
      <w:r>
        <w:separator/>
      </w:r>
    </w:p>
  </w:endnote>
  <w:endnote w:type="continuationSeparator" w:id="0">
    <w:p w14:paraId="58A6C47F" w14:textId="77777777" w:rsidR="004171BB" w:rsidRDefault="004171BB" w:rsidP="00C72A58">
      <w:pPr>
        <w:spacing w:after="0" w:line="240" w:lineRule="auto"/>
      </w:pPr>
      <w:r>
        <w:continuationSeparator/>
      </w:r>
    </w:p>
  </w:endnote>
  <w:endnote w:type="continuationNotice" w:id="1">
    <w:p w14:paraId="2A1B239A" w14:textId="77777777" w:rsidR="004171BB" w:rsidRDefault="00417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7000" w14:textId="4A757E23" w:rsidR="004A4930" w:rsidRDefault="004A4930" w:rsidP="004A49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6F77" w14:textId="77777777" w:rsidR="004171BB" w:rsidRDefault="004171BB" w:rsidP="00C72A58">
      <w:pPr>
        <w:spacing w:after="0" w:line="240" w:lineRule="auto"/>
      </w:pPr>
      <w:r>
        <w:separator/>
      </w:r>
    </w:p>
  </w:footnote>
  <w:footnote w:type="continuationSeparator" w:id="0">
    <w:p w14:paraId="774F13DD" w14:textId="77777777" w:rsidR="004171BB" w:rsidRDefault="004171BB" w:rsidP="00C72A58">
      <w:pPr>
        <w:spacing w:after="0" w:line="240" w:lineRule="auto"/>
      </w:pPr>
      <w:r>
        <w:continuationSeparator/>
      </w:r>
    </w:p>
  </w:footnote>
  <w:footnote w:type="continuationNotice" w:id="1">
    <w:p w14:paraId="0E128281" w14:textId="77777777" w:rsidR="004171BB" w:rsidRDefault="00417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53990043">
    <w:abstractNumId w:val="27"/>
  </w:num>
  <w:num w:numId="2" w16cid:durableId="835651887">
    <w:abstractNumId w:val="25"/>
  </w:num>
  <w:num w:numId="3" w16cid:durableId="221210546">
    <w:abstractNumId w:val="23"/>
  </w:num>
  <w:num w:numId="4" w16cid:durableId="1696884944">
    <w:abstractNumId w:val="2"/>
  </w:num>
  <w:num w:numId="5" w16cid:durableId="72971890">
    <w:abstractNumId w:val="6"/>
  </w:num>
  <w:num w:numId="6" w16cid:durableId="801190371">
    <w:abstractNumId w:val="11"/>
  </w:num>
  <w:num w:numId="7" w16cid:durableId="1769961614">
    <w:abstractNumId w:val="18"/>
  </w:num>
  <w:num w:numId="8" w16cid:durableId="1259948271">
    <w:abstractNumId w:val="14"/>
  </w:num>
  <w:num w:numId="9" w16cid:durableId="805665520">
    <w:abstractNumId w:val="19"/>
  </w:num>
  <w:num w:numId="10" w16cid:durableId="1181431141">
    <w:abstractNumId w:val="12"/>
  </w:num>
  <w:num w:numId="11" w16cid:durableId="1991908827">
    <w:abstractNumId w:val="0"/>
  </w:num>
  <w:num w:numId="12" w16cid:durableId="1952741104">
    <w:abstractNumId w:val="28"/>
  </w:num>
  <w:num w:numId="13" w16cid:durableId="1483892648">
    <w:abstractNumId w:val="4"/>
  </w:num>
  <w:num w:numId="14" w16cid:durableId="1505240862">
    <w:abstractNumId w:val="20"/>
  </w:num>
  <w:num w:numId="15" w16cid:durableId="232858856">
    <w:abstractNumId w:val="5"/>
  </w:num>
  <w:num w:numId="16" w16cid:durableId="162742748">
    <w:abstractNumId w:val="10"/>
  </w:num>
  <w:num w:numId="17" w16cid:durableId="728698156">
    <w:abstractNumId w:val="8"/>
  </w:num>
  <w:num w:numId="18" w16cid:durableId="1956446899">
    <w:abstractNumId w:val="7"/>
  </w:num>
  <w:num w:numId="19" w16cid:durableId="697925022">
    <w:abstractNumId w:val="13"/>
  </w:num>
  <w:num w:numId="20" w16cid:durableId="1485704416">
    <w:abstractNumId w:val="21"/>
  </w:num>
  <w:num w:numId="21" w16cid:durableId="447047960">
    <w:abstractNumId w:val="15"/>
  </w:num>
  <w:num w:numId="22" w16cid:durableId="1558780017">
    <w:abstractNumId w:val="17"/>
  </w:num>
  <w:num w:numId="23" w16cid:durableId="140654175">
    <w:abstractNumId w:val="16"/>
  </w:num>
  <w:num w:numId="24" w16cid:durableId="1994219464">
    <w:abstractNumId w:val="24"/>
  </w:num>
  <w:num w:numId="25" w16cid:durableId="1073964362">
    <w:abstractNumId w:val="22"/>
  </w:num>
  <w:num w:numId="26" w16cid:durableId="629172616">
    <w:abstractNumId w:val="24"/>
  </w:num>
  <w:num w:numId="27" w16cid:durableId="1266688590">
    <w:abstractNumId w:val="26"/>
  </w:num>
  <w:num w:numId="28" w16cid:durableId="1249584043">
    <w:abstractNumId w:val="1"/>
  </w:num>
  <w:num w:numId="29" w16cid:durableId="1844467277">
    <w:abstractNumId w:val="9"/>
  </w:num>
  <w:num w:numId="30" w16cid:durableId="190048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2B8"/>
    <w:rsid w:val="000153F9"/>
    <w:rsid w:val="000169FE"/>
    <w:rsid w:val="00017C1D"/>
    <w:rsid w:val="000233AC"/>
    <w:rsid w:val="00026028"/>
    <w:rsid w:val="00040699"/>
    <w:rsid w:val="0004166B"/>
    <w:rsid w:val="00042186"/>
    <w:rsid w:val="00052E5F"/>
    <w:rsid w:val="00053CF4"/>
    <w:rsid w:val="00055A50"/>
    <w:rsid w:val="000603D2"/>
    <w:rsid w:val="00071054"/>
    <w:rsid w:val="00071CF0"/>
    <w:rsid w:val="00071E86"/>
    <w:rsid w:val="00072B16"/>
    <w:rsid w:val="00073325"/>
    <w:rsid w:val="00074A55"/>
    <w:rsid w:val="00074B0A"/>
    <w:rsid w:val="00080643"/>
    <w:rsid w:val="000816A4"/>
    <w:rsid w:val="00083B67"/>
    <w:rsid w:val="000919F5"/>
    <w:rsid w:val="00096446"/>
    <w:rsid w:val="00097011"/>
    <w:rsid w:val="000B44A1"/>
    <w:rsid w:val="000B667F"/>
    <w:rsid w:val="000C78A0"/>
    <w:rsid w:val="000D39A1"/>
    <w:rsid w:val="000D4130"/>
    <w:rsid w:val="000D4821"/>
    <w:rsid w:val="000E05E7"/>
    <w:rsid w:val="000E259E"/>
    <w:rsid w:val="000E30BC"/>
    <w:rsid w:val="000E5836"/>
    <w:rsid w:val="000F094A"/>
    <w:rsid w:val="000F64D0"/>
    <w:rsid w:val="000F7E59"/>
    <w:rsid w:val="00101163"/>
    <w:rsid w:val="001050CA"/>
    <w:rsid w:val="0010521D"/>
    <w:rsid w:val="00107A2A"/>
    <w:rsid w:val="00111F2E"/>
    <w:rsid w:val="00112018"/>
    <w:rsid w:val="00117A91"/>
    <w:rsid w:val="001200C5"/>
    <w:rsid w:val="001206DD"/>
    <w:rsid w:val="00121C59"/>
    <w:rsid w:val="00124813"/>
    <w:rsid w:val="00126C84"/>
    <w:rsid w:val="0013569C"/>
    <w:rsid w:val="00136972"/>
    <w:rsid w:val="00144C82"/>
    <w:rsid w:val="001508D7"/>
    <w:rsid w:val="001539A8"/>
    <w:rsid w:val="00156EF4"/>
    <w:rsid w:val="00163B21"/>
    <w:rsid w:val="001648A4"/>
    <w:rsid w:val="00170CCE"/>
    <w:rsid w:val="00171549"/>
    <w:rsid w:val="00175038"/>
    <w:rsid w:val="00181C40"/>
    <w:rsid w:val="00185F54"/>
    <w:rsid w:val="001866E2"/>
    <w:rsid w:val="001939D3"/>
    <w:rsid w:val="001960F7"/>
    <w:rsid w:val="00196C44"/>
    <w:rsid w:val="001A6BCC"/>
    <w:rsid w:val="001A740B"/>
    <w:rsid w:val="001B17E2"/>
    <w:rsid w:val="001B58C8"/>
    <w:rsid w:val="001C7270"/>
    <w:rsid w:val="001D1F7A"/>
    <w:rsid w:val="001E06F4"/>
    <w:rsid w:val="001E64AE"/>
    <w:rsid w:val="001E653D"/>
    <w:rsid w:val="001F48C9"/>
    <w:rsid w:val="002006AF"/>
    <w:rsid w:val="00206F23"/>
    <w:rsid w:val="00212260"/>
    <w:rsid w:val="0021376A"/>
    <w:rsid w:val="00213862"/>
    <w:rsid w:val="0021660A"/>
    <w:rsid w:val="002265CD"/>
    <w:rsid w:val="00231D7B"/>
    <w:rsid w:val="0024258C"/>
    <w:rsid w:val="00243D32"/>
    <w:rsid w:val="002453E9"/>
    <w:rsid w:val="002523EB"/>
    <w:rsid w:val="0026098C"/>
    <w:rsid w:val="002609F0"/>
    <w:rsid w:val="00260E45"/>
    <w:rsid w:val="002635D2"/>
    <w:rsid w:val="00265CAC"/>
    <w:rsid w:val="00266018"/>
    <w:rsid w:val="0026738D"/>
    <w:rsid w:val="002756F7"/>
    <w:rsid w:val="00277F6F"/>
    <w:rsid w:val="00280492"/>
    <w:rsid w:val="00281205"/>
    <w:rsid w:val="00286EBA"/>
    <w:rsid w:val="002935F4"/>
    <w:rsid w:val="0029769B"/>
    <w:rsid w:val="002A7C10"/>
    <w:rsid w:val="002B2511"/>
    <w:rsid w:val="002B56B4"/>
    <w:rsid w:val="002C104B"/>
    <w:rsid w:val="002C6E6B"/>
    <w:rsid w:val="002D1DA0"/>
    <w:rsid w:val="002D38D2"/>
    <w:rsid w:val="002D5215"/>
    <w:rsid w:val="002E253D"/>
    <w:rsid w:val="002E38B6"/>
    <w:rsid w:val="002E41A8"/>
    <w:rsid w:val="002E5067"/>
    <w:rsid w:val="002F0E70"/>
    <w:rsid w:val="00300400"/>
    <w:rsid w:val="003012F1"/>
    <w:rsid w:val="003014E0"/>
    <w:rsid w:val="00302221"/>
    <w:rsid w:val="003079CA"/>
    <w:rsid w:val="00310CDA"/>
    <w:rsid w:val="0032038E"/>
    <w:rsid w:val="00325BF6"/>
    <w:rsid w:val="003265FE"/>
    <w:rsid w:val="003279B0"/>
    <w:rsid w:val="003325F2"/>
    <w:rsid w:val="00333A5A"/>
    <w:rsid w:val="00335D3D"/>
    <w:rsid w:val="00340E73"/>
    <w:rsid w:val="0034152F"/>
    <w:rsid w:val="00341F5C"/>
    <w:rsid w:val="003479E0"/>
    <w:rsid w:val="00356294"/>
    <w:rsid w:val="00356CCD"/>
    <w:rsid w:val="00362420"/>
    <w:rsid w:val="003633A7"/>
    <w:rsid w:val="00372907"/>
    <w:rsid w:val="003733E7"/>
    <w:rsid w:val="00374BF1"/>
    <w:rsid w:val="00381B4A"/>
    <w:rsid w:val="00384929"/>
    <w:rsid w:val="00386F6C"/>
    <w:rsid w:val="00392D58"/>
    <w:rsid w:val="0039717B"/>
    <w:rsid w:val="00397A33"/>
    <w:rsid w:val="003A3495"/>
    <w:rsid w:val="003A728F"/>
    <w:rsid w:val="003B03CE"/>
    <w:rsid w:val="003B16A3"/>
    <w:rsid w:val="003B2E36"/>
    <w:rsid w:val="003B2F2C"/>
    <w:rsid w:val="003B6F9F"/>
    <w:rsid w:val="003C186C"/>
    <w:rsid w:val="003C5715"/>
    <w:rsid w:val="003C7E1E"/>
    <w:rsid w:val="003C7F52"/>
    <w:rsid w:val="003D47EB"/>
    <w:rsid w:val="003E11EB"/>
    <w:rsid w:val="003E419F"/>
    <w:rsid w:val="003E5381"/>
    <w:rsid w:val="003E647F"/>
    <w:rsid w:val="003F11AA"/>
    <w:rsid w:val="003F5C74"/>
    <w:rsid w:val="003F63BF"/>
    <w:rsid w:val="003F668A"/>
    <w:rsid w:val="004018D8"/>
    <w:rsid w:val="004026E1"/>
    <w:rsid w:val="00403215"/>
    <w:rsid w:val="004171BB"/>
    <w:rsid w:val="004211B3"/>
    <w:rsid w:val="00421DC4"/>
    <w:rsid w:val="0044241C"/>
    <w:rsid w:val="004439B5"/>
    <w:rsid w:val="00445302"/>
    <w:rsid w:val="0044538F"/>
    <w:rsid w:val="00446D3B"/>
    <w:rsid w:val="00451101"/>
    <w:rsid w:val="004515ED"/>
    <w:rsid w:val="00452AEF"/>
    <w:rsid w:val="004642DA"/>
    <w:rsid w:val="00464926"/>
    <w:rsid w:val="00476DC0"/>
    <w:rsid w:val="00477666"/>
    <w:rsid w:val="00477F18"/>
    <w:rsid w:val="0048009D"/>
    <w:rsid w:val="00481023"/>
    <w:rsid w:val="00483603"/>
    <w:rsid w:val="004947EB"/>
    <w:rsid w:val="0049773B"/>
    <w:rsid w:val="004A40BD"/>
    <w:rsid w:val="004A4930"/>
    <w:rsid w:val="004A58C0"/>
    <w:rsid w:val="004B7167"/>
    <w:rsid w:val="004B7CBF"/>
    <w:rsid w:val="004C0791"/>
    <w:rsid w:val="004D1605"/>
    <w:rsid w:val="004D1E21"/>
    <w:rsid w:val="004D2712"/>
    <w:rsid w:val="004D5683"/>
    <w:rsid w:val="004D6C21"/>
    <w:rsid w:val="004D7B50"/>
    <w:rsid w:val="004D7BA7"/>
    <w:rsid w:val="004E4907"/>
    <w:rsid w:val="004E7241"/>
    <w:rsid w:val="004F07FE"/>
    <w:rsid w:val="004F0F12"/>
    <w:rsid w:val="004F413A"/>
    <w:rsid w:val="004F6407"/>
    <w:rsid w:val="00500AC4"/>
    <w:rsid w:val="0050475C"/>
    <w:rsid w:val="00504C67"/>
    <w:rsid w:val="0051019B"/>
    <w:rsid w:val="00510551"/>
    <w:rsid w:val="005106DA"/>
    <w:rsid w:val="00514ADF"/>
    <w:rsid w:val="005169A1"/>
    <w:rsid w:val="00517DF5"/>
    <w:rsid w:val="00525378"/>
    <w:rsid w:val="00526404"/>
    <w:rsid w:val="005310E2"/>
    <w:rsid w:val="005314E1"/>
    <w:rsid w:val="00531D65"/>
    <w:rsid w:val="00534301"/>
    <w:rsid w:val="005362EF"/>
    <w:rsid w:val="00537560"/>
    <w:rsid w:val="00541AD4"/>
    <w:rsid w:val="005425F2"/>
    <w:rsid w:val="00544A99"/>
    <w:rsid w:val="00546D3B"/>
    <w:rsid w:val="005504CD"/>
    <w:rsid w:val="005507E3"/>
    <w:rsid w:val="005513FE"/>
    <w:rsid w:val="00551470"/>
    <w:rsid w:val="005536CB"/>
    <w:rsid w:val="00561A99"/>
    <w:rsid w:val="00562A2E"/>
    <w:rsid w:val="005640DB"/>
    <w:rsid w:val="0056634A"/>
    <w:rsid w:val="00567F1A"/>
    <w:rsid w:val="00572DF0"/>
    <w:rsid w:val="00574021"/>
    <w:rsid w:val="00574255"/>
    <w:rsid w:val="005816B2"/>
    <w:rsid w:val="0058358C"/>
    <w:rsid w:val="00584D1C"/>
    <w:rsid w:val="00585057"/>
    <w:rsid w:val="00587F22"/>
    <w:rsid w:val="005A3511"/>
    <w:rsid w:val="005A6395"/>
    <w:rsid w:val="005A6523"/>
    <w:rsid w:val="005A6609"/>
    <w:rsid w:val="005B0106"/>
    <w:rsid w:val="005B40FE"/>
    <w:rsid w:val="005B59B2"/>
    <w:rsid w:val="005B6DA8"/>
    <w:rsid w:val="005C44B8"/>
    <w:rsid w:val="005C4DCB"/>
    <w:rsid w:val="005D4B8F"/>
    <w:rsid w:val="005E76C0"/>
    <w:rsid w:val="00603B24"/>
    <w:rsid w:val="00611D7F"/>
    <w:rsid w:val="0061388C"/>
    <w:rsid w:val="00614894"/>
    <w:rsid w:val="00614B0B"/>
    <w:rsid w:val="00615445"/>
    <w:rsid w:val="00622991"/>
    <w:rsid w:val="006257CA"/>
    <w:rsid w:val="00626256"/>
    <w:rsid w:val="006268D8"/>
    <w:rsid w:val="00627DC4"/>
    <w:rsid w:val="006307EF"/>
    <w:rsid w:val="00632C74"/>
    <w:rsid w:val="00635404"/>
    <w:rsid w:val="006428A1"/>
    <w:rsid w:val="006445F8"/>
    <w:rsid w:val="00646C65"/>
    <w:rsid w:val="0064768A"/>
    <w:rsid w:val="00652E6E"/>
    <w:rsid w:val="00653A8E"/>
    <w:rsid w:val="0065613F"/>
    <w:rsid w:val="00663A0A"/>
    <w:rsid w:val="00663DB6"/>
    <w:rsid w:val="00664788"/>
    <w:rsid w:val="0066727C"/>
    <w:rsid w:val="00670EC1"/>
    <w:rsid w:val="00671315"/>
    <w:rsid w:val="0067216F"/>
    <w:rsid w:val="006744C2"/>
    <w:rsid w:val="00675B15"/>
    <w:rsid w:val="00680CC0"/>
    <w:rsid w:val="00681242"/>
    <w:rsid w:val="006816E3"/>
    <w:rsid w:val="00683972"/>
    <w:rsid w:val="00684CD1"/>
    <w:rsid w:val="00684F96"/>
    <w:rsid w:val="00685375"/>
    <w:rsid w:val="00685E0C"/>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D21F5"/>
    <w:rsid w:val="006E19C2"/>
    <w:rsid w:val="006E4757"/>
    <w:rsid w:val="006E5048"/>
    <w:rsid w:val="006E54DD"/>
    <w:rsid w:val="006E5F03"/>
    <w:rsid w:val="006F63A7"/>
    <w:rsid w:val="006F7CFE"/>
    <w:rsid w:val="00701458"/>
    <w:rsid w:val="00713823"/>
    <w:rsid w:val="00714D58"/>
    <w:rsid w:val="007164D1"/>
    <w:rsid w:val="00716C4A"/>
    <w:rsid w:val="007279B2"/>
    <w:rsid w:val="007304E1"/>
    <w:rsid w:val="0073261D"/>
    <w:rsid w:val="007327C6"/>
    <w:rsid w:val="00733938"/>
    <w:rsid w:val="007341F6"/>
    <w:rsid w:val="00734C4F"/>
    <w:rsid w:val="00735A01"/>
    <w:rsid w:val="007402AE"/>
    <w:rsid w:val="00741972"/>
    <w:rsid w:val="00741FD2"/>
    <w:rsid w:val="0074205D"/>
    <w:rsid w:val="007428BC"/>
    <w:rsid w:val="00747D45"/>
    <w:rsid w:val="0075053E"/>
    <w:rsid w:val="00753C0F"/>
    <w:rsid w:val="007550FB"/>
    <w:rsid w:val="00756463"/>
    <w:rsid w:val="00756F73"/>
    <w:rsid w:val="0076528E"/>
    <w:rsid w:val="007701B1"/>
    <w:rsid w:val="00771DED"/>
    <w:rsid w:val="0077200C"/>
    <w:rsid w:val="00774810"/>
    <w:rsid w:val="00774AD3"/>
    <w:rsid w:val="00777848"/>
    <w:rsid w:val="00780793"/>
    <w:rsid w:val="00781F21"/>
    <w:rsid w:val="00782780"/>
    <w:rsid w:val="00783136"/>
    <w:rsid w:val="0078472C"/>
    <w:rsid w:val="00785195"/>
    <w:rsid w:val="007867F3"/>
    <w:rsid w:val="0079197B"/>
    <w:rsid w:val="00793128"/>
    <w:rsid w:val="00794B08"/>
    <w:rsid w:val="007970AB"/>
    <w:rsid w:val="007976F0"/>
    <w:rsid w:val="007A203F"/>
    <w:rsid w:val="007A31DE"/>
    <w:rsid w:val="007A6BC2"/>
    <w:rsid w:val="007B6100"/>
    <w:rsid w:val="007C4AD1"/>
    <w:rsid w:val="007C6145"/>
    <w:rsid w:val="007D5AA3"/>
    <w:rsid w:val="007D625E"/>
    <w:rsid w:val="007D7358"/>
    <w:rsid w:val="007E7AD8"/>
    <w:rsid w:val="007F560D"/>
    <w:rsid w:val="007F5BD0"/>
    <w:rsid w:val="007F6C12"/>
    <w:rsid w:val="0080438E"/>
    <w:rsid w:val="00804529"/>
    <w:rsid w:val="00805F99"/>
    <w:rsid w:val="0080610B"/>
    <w:rsid w:val="00807BE5"/>
    <w:rsid w:val="008111F1"/>
    <w:rsid w:val="008143EC"/>
    <w:rsid w:val="00815EBA"/>
    <w:rsid w:val="00821A49"/>
    <w:rsid w:val="0082332E"/>
    <w:rsid w:val="00832DBC"/>
    <w:rsid w:val="00833CEC"/>
    <w:rsid w:val="00836203"/>
    <w:rsid w:val="00841A62"/>
    <w:rsid w:val="00845DAB"/>
    <w:rsid w:val="00854426"/>
    <w:rsid w:val="00854EBB"/>
    <w:rsid w:val="008613EB"/>
    <w:rsid w:val="008621CA"/>
    <w:rsid w:val="008662EB"/>
    <w:rsid w:val="008729AF"/>
    <w:rsid w:val="00874382"/>
    <w:rsid w:val="008755B1"/>
    <w:rsid w:val="008806E5"/>
    <w:rsid w:val="00882954"/>
    <w:rsid w:val="00883A4B"/>
    <w:rsid w:val="008843FE"/>
    <w:rsid w:val="008926D8"/>
    <w:rsid w:val="0089683D"/>
    <w:rsid w:val="008A050D"/>
    <w:rsid w:val="008A12EC"/>
    <w:rsid w:val="008A2910"/>
    <w:rsid w:val="008A4099"/>
    <w:rsid w:val="008A7A3A"/>
    <w:rsid w:val="008B2D6A"/>
    <w:rsid w:val="008B397C"/>
    <w:rsid w:val="008C1D41"/>
    <w:rsid w:val="008C29F9"/>
    <w:rsid w:val="008C6C15"/>
    <w:rsid w:val="008D11DF"/>
    <w:rsid w:val="008D5F5D"/>
    <w:rsid w:val="008E2498"/>
    <w:rsid w:val="008E378A"/>
    <w:rsid w:val="008E405B"/>
    <w:rsid w:val="008E4FA1"/>
    <w:rsid w:val="008E6076"/>
    <w:rsid w:val="008E7D03"/>
    <w:rsid w:val="008F05C5"/>
    <w:rsid w:val="008F3177"/>
    <w:rsid w:val="008F3294"/>
    <w:rsid w:val="008F4A12"/>
    <w:rsid w:val="008F567B"/>
    <w:rsid w:val="009025A4"/>
    <w:rsid w:val="00904073"/>
    <w:rsid w:val="009107F9"/>
    <w:rsid w:val="009179B7"/>
    <w:rsid w:val="009214BD"/>
    <w:rsid w:val="00921678"/>
    <w:rsid w:val="00931DD8"/>
    <w:rsid w:val="00933346"/>
    <w:rsid w:val="0093426A"/>
    <w:rsid w:val="0093640A"/>
    <w:rsid w:val="009377A2"/>
    <w:rsid w:val="00937B54"/>
    <w:rsid w:val="00941668"/>
    <w:rsid w:val="009421AE"/>
    <w:rsid w:val="00946D92"/>
    <w:rsid w:val="0095121C"/>
    <w:rsid w:val="0095150E"/>
    <w:rsid w:val="00951C35"/>
    <w:rsid w:val="009523AF"/>
    <w:rsid w:val="009527BD"/>
    <w:rsid w:val="009653F4"/>
    <w:rsid w:val="009659D7"/>
    <w:rsid w:val="00972926"/>
    <w:rsid w:val="009834F9"/>
    <w:rsid w:val="009835D2"/>
    <w:rsid w:val="00985819"/>
    <w:rsid w:val="0098682E"/>
    <w:rsid w:val="00990C21"/>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0F50"/>
    <w:rsid w:val="009D4A9B"/>
    <w:rsid w:val="009D59DA"/>
    <w:rsid w:val="009D64DC"/>
    <w:rsid w:val="009F0F2B"/>
    <w:rsid w:val="009F4BEC"/>
    <w:rsid w:val="009F4EDC"/>
    <w:rsid w:val="00A07B77"/>
    <w:rsid w:val="00A10580"/>
    <w:rsid w:val="00A13FA8"/>
    <w:rsid w:val="00A14C14"/>
    <w:rsid w:val="00A23054"/>
    <w:rsid w:val="00A23B77"/>
    <w:rsid w:val="00A249BB"/>
    <w:rsid w:val="00A25C91"/>
    <w:rsid w:val="00A30531"/>
    <w:rsid w:val="00A31DBB"/>
    <w:rsid w:val="00A31FE6"/>
    <w:rsid w:val="00A32D3B"/>
    <w:rsid w:val="00A33147"/>
    <w:rsid w:val="00A37207"/>
    <w:rsid w:val="00A37F33"/>
    <w:rsid w:val="00A37F8A"/>
    <w:rsid w:val="00A4285F"/>
    <w:rsid w:val="00A44D9E"/>
    <w:rsid w:val="00A44F8E"/>
    <w:rsid w:val="00A5125C"/>
    <w:rsid w:val="00A541E0"/>
    <w:rsid w:val="00A565B2"/>
    <w:rsid w:val="00A57340"/>
    <w:rsid w:val="00A57B44"/>
    <w:rsid w:val="00A633B2"/>
    <w:rsid w:val="00A83424"/>
    <w:rsid w:val="00A94109"/>
    <w:rsid w:val="00A95F1D"/>
    <w:rsid w:val="00A9694C"/>
    <w:rsid w:val="00A9700A"/>
    <w:rsid w:val="00A97C3D"/>
    <w:rsid w:val="00AA1728"/>
    <w:rsid w:val="00AA61CD"/>
    <w:rsid w:val="00AA7EDB"/>
    <w:rsid w:val="00AB097A"/>
    <w:rsid w:val="00AC0AB5"/>
    <w:rsid w:val="00AC0CAF"/>
    <w:rsid w:val="00AC295A"/>
    <w:rsid w:val="00AC6FDD"/>
    <w:rsid w:val="00AC7B5D"/>
    <w:rsid w:val="00AD115A"/>
    <w:rsid w:val="00AE3096"/>
    <w:rsid w:val="00AE6967"/>
    <w:rsid w:val="00AF0E85"/>
    <w:rsid w:val="00AF4A82"/>
    <w:rsid w:val="00AF6E3F"/>
    <w:rsid w:val="00B01F0F"/>
    <w:rsid w:val="00B045EA"/>
    <w:rsid w:val="00B0730F"/>
    <w:rsid w:val="00B16B78"/>
    <w:rsid w:val="00B17DB9"/>
    <w:rsid w:val="00B20406"/>
    <w:rsid w:val="00B26A83"/>
    <w:rsid w:val="00B311CF"/>
    <w:rsid w:val="00B31979"/>
    <w:rsid w:val="00B32A9C"/>
    <w:rsid w:val="00B33529"/>
    <w:rsid w:val="00B339D4"/>
    <w:rsid w:val="00B34FAD"/>
    <w:rsid w:val="00B374E1"/>
    <w:rsid w:val="00B44D0A"/>
    <w:rsid w:val="00B5481B"/>
    <w:rsid w:val="00B55C0B"/>
    <w:rsid w:val="00B6028C"/>
    <w:rsid w:val="00B63E6D"/>
    <w:rsid w:val="00B64705"/>
    <w:rsid w:val="00B74E58"/>
    <w:rsid w:val="00B7562D"/>
    <w:rsid w:val="00B80C75"/>
    <w:rsid w:val="00B81DB9"/>
    <w:rsid w:val="00B86312"/>
    <w:rsid w:val="00B915B2"/>
    <w:rsid w:val="00B959B3"/>
    <w:rsid w:val="00BA2C2F"/>
    <w:rsid w:val="00BA6FBC"/>
    <w:rsid w:val="00BB289B"/>
    <w:rsid w:val="00BB510F"/>
    <w:rsid w:val="00BC1234"/>
    <w:rsid w:val="00BC2BAB"/>
    <w:rsid w:val="00BC3098"/>
    <w:rsid w:val="00BC5067"/>
    <w:rsid w:val="00BC6E89"/>
    <w:rsid w:val="00BD22EA"/>
    <w:rsid w:val="00BD3302"/>
    <w:rsid w:val="00BE0A83"/>
    <w:rsid w:val="00BE0EFA"/>
    <w:rsid w:val="00BE5DEE"/>
    <w:rsid w:val="00BF6023"/>
    <w:rsid w:val="00C00686"/>
    <w:rsid w:val="00C05F4C"/>
    <w:rsid w:val="00C06C46"/>
    <w:rsid w:val="00C2333E"/>
    <w:rsid w:val="00C265CC"/>
    <w:rsid w:val="00C27BF3"/>
    <w:rsid w:val="00C3494E"/>
    <w:rsid w:val="00C354C3"/>
    <w:rsid w:val="00C43ACA"/>
    <w:rsid w:val="00C43F2D"/>
    <w:rsid w:val="00C4491C"/>
    <w:rsid w:val="00C500EF"/>
    <w:rsid w:val="00C51ED3"/>
    <w:rsid w:val="00C521CC"/>
    <w:rsid w:val="00C53AD3"/>
    <w:rsid w:val="00C60B3E"/>
    <w:rsid w:val="00C61416"/>
    <w:rsid w:val="00C61CA7"/>
    <w:rsid w:val="00C66214"/>
    <w:rsid w:val="00C6683B"/>
    <w:rsid w:val="00C71B3F"/>
    <w:rsid w:val="00C72A58"/>
    <w:rsid w:val="00C73E4B"/>
    <w:rsid w:val="00C746C2"/>
    <w:rsid w:val="00C80F6A"/>
    <w:rsid w:val="00C91106"/>
    <w:rsid w:val="00C93DD5"/>
    <w:rsid w:val="00CA34E2"/>
    <w:rsid w:val="00CA5351"/>
    <w:rsid w:val="00CA5CF1"/>
    <w:rsid w:val="00CB1EFB"/>
    <w:rsid w:val="00CB6023"/>
    <w:rsid w:val="00CB67EA"/>
    <w:rsid w:val="00CC2ADB"/>
    <w:rsid w:val="00CC53E7"/>
    <w:rsid w:val="00CD33AF"/>
    <w:rsid w:val="00CD642A"/>
    <w:rsid w:val="00CE4F0A"/>
    <w:rsid w:val="00CE6907"/>
    <w:rsid w:val="00CF2DFF"/>
    <w:rsid w:val="00CF3F5E"/>
    <w:rsid w:val="00CF7CCA"/>
    <w:rsid w:val="00D000CE"/>
    <w:rsid w:val="00D02F35"/>
    <w:rsid w:val="00D04CC3"/>
    <w:rsid w:val="00D1490D"/>
    <w:rsid w:val="00D14C70"/>
    <w:rsid w:val="00D21AB8"/>
    <w:rsid w:val="00D26CED"/>
    <w:rsid w:val="00D31E65"/>
    <w:rsid w:val="00D3319D"/>
    <w:rsid w:val="00D34A85"/>
    <w:rsid w:val="00D46F6E"/>
    <w:rsid w:val="00D53871"/>
    <w:rsid w:val="00D57B44"/>
    <w:rsid w:val="00D6508F"/>
    <w:rsid w:val="00D6641B"/>
    <w:rsid w:val="00D675F3"/>
    <w:rsid w:val="00D72961"/>
    <w:rsid w:val="00D7496B"/>
    <w:rsid w:val="00D805E8"/>
    <w:rsid w:val="00D84357"/>
    <w:rsid w:val="00D964E0"/>
    <w:rsid w:val="00DA3917"/>
    <w:rsid w:val="00DA3D34"/>
    <w:rsid w:val="00DA5CEC"/>
    <w:rsid w:val="00DB1566"/>
    <w:rsid w:val="00DB7154"/>
    <w:rsid w:val="00DC6462"/>
    <w:rsid w:val="00DD21FA"/>
    <w:rsid w:val="00DD2CF7"/>
    <w:rsid w:val="00DD2E55"/>
    <w:rsid w:val="00DD4C87"/>
    <w:rsid w:val="00DD5D75"/>
    <w:rsid w:val="00DD6B72"/>
    <w:rsid w:val="00DE0E9D"/>
    <w:rsid w:val="00DE3869"/>
    <w:rsid w:val="00DE4ED6"/>
    <w:rsid w:val="00DE5CA5"/>
    <w:rsid w:val="00DF4FA8"/>
    <w:rsid w:val="00E017A9"/>
    <w:rsid w:val="00E0274F"/>
    <w:rsid w:val="00E03FFF"/>
    <w:rsid w:val="00E07A42"/>
    <w:rsid w:val="00E10EDB"/>
    <w:rsid w:val="00E11D9C"/>
    <w:rsid w:val="00E1290B"/>
    <w:rsid w:val="00E12E97"/>
    <w:rsid w:val="00E161FC"/>
    <w:rsid w:val="00E17936"/>
    <w:rsid w:val="00E17FD7"/>
    <w:rsid w:val="00E2126C"/>
    <w:rsid w:val="00E23B4E"/>
    <w:rsid w:val="00E27ACC"/>
    <w:rsid w:val="00E31BA2"/>
    <w:rsid w:val="00E3563E"/>
    <w:rsid w:val="00E361D6"/>
    <w:rsid w:val="00E36977"/>
    <w:rsid w:val="00E40078"/>
    <w:rsid w:val="00E43C61"/>
    <w:rsid w:val="00E4426D"/>
    <w:rsid w:val="00E50D54"/>
    <w:rsid w:val="00E50F7C"/>
    <w:rsid w:val="00E51345"/>
    <w:rsid w:val="00E52DB3"/>
    <w:rsid w:val="00E52FAD"/>
    <w:rsid w:val="00E54BA4"/>
    <w:rsid w:val="00E64226"/>
    <w:rsid w:val="00E66CB4"/>
    <w:rsid w:val="00E71D35"/>
    <w:rsid w:val="00E758FC"/>
    <w:rsid w:val="00E81532"/>
    <w:rsid w:val="00E81B19"/>
    <w:rsid w:val="00E90D1D"/>
    <w:rsid w:val="00E90DA1"/>
    <w:rsid w:val="00E91D8C"/>
    <w:rsid w:val="00E91EA1"/>
    <w:rsid w:val="00E94C94"/>
    <w:rsid w:val="00EA0D8F"/>
    <w:rsid w:val="00EA1019"/>
    <w:rsid w:val="00EB3461"/>
    <w:rsid w:val="00EB3532"/>
    <w:rsid w:val="00EB3C64"/>
    <w:rsid w:val="00EB5FC5"/>
    <w:rsid w:val="00EB785E"/>
    <w:rsid w:val="00EC44C8"/>
    <w:rsid w:val="00EC5A58"/>
    <w:rsid w:val="00EC78F5"/>
    <w:rsid w:val="00EC7C37"/>
    <w:rsid w:val="00ED5844"/>
    <w:rsid w:val="00EE1550"/>
    <w:rsid w:val="00EE4F4A"/>
    <w:rsid w:val="00EE59D0"/>
    <w:rsid w:val="00EE65B8"/>
    <w:rsid w:val="00EE6CD6"/>
    <w:rsid w:val="00EF118B"/>
    <w:rsid w:val="00EF2EA3"/>
    <w:rsid w:val="00EF676B"/>
    <w:rsid w:val="00F009BF"/>
    <w:rsid w:val="00F014A3"/>
    <w:rsid w:val="00F03D7C"/>
    <w:rsid w:val="00F045AC"/>
    <w:rsid w:val="00F04680"/>
    <w:rsid w:val="00F061A3"/>
    <w:rsid w:val="00F12296"/>
    <w:rsid w:val="00F13FAA"/>
    <w:rsid w:val="00F1504D"/>
    <w:rsid w:val="00F174AA"/>
    <w:rsid w:val="00F175D3"/>
    <w:rsid w:val="00F2010B"/>
    <w:rsid w:val="00F2089E"/>
    <w:rsid w:val="00F237A8"/>
    <w:rsid w:val="00F310D7"/>
    <w:rsid w:val="00F3175F"/>
    <w:rsid w:val="00F3236F"/>
    <w:rsid w:val="00F417A3"/>
    <w:rsid w:val="00F512A9"/>
    <w:rsid w:val="00F5484F"/>
    <w:rsid w:val="00F66D52"/>
    <w:rsid w:val="00F7508A"/>
    <w:rsid w:val="00F83224"/>
    <w:rsid w:val="00F85E80"/>
    <w:rsid w:val="00F86843"/>
    <w:rsid w:val="00F9066E"/>
    <w:rsid w:val="00F9375F"/>
    <w:rsid w:val="00F95AFC"/>
    <w:rsid w:val="00F96DF6"/>
    <w:rsid w:val="00F97804"/>
    <w:rsid w:val="00FA039E"/>
    <w:rsid w:val="00FA4FF7"/>
    <w:rsid w:val="00FB3F64"/>
    <w:rsid w:val="00FB590B"/>
    <w:rsid w:val="00FC1234"/>
    <w:rsid w:val="00FC3C9F"/>
    <w:rsid w:val="00FC45D8"/>
    <w:rsid w:val="00FC50EE"/>
    <w:rsid w:val="00FD2777"/>
    <w:rsid w:val="00FD3900"/>
    <w:rsid w:val="00FD3CC9"/>
    <w:rsid w:val="00FD71E3"/>
    <w:rsid w:val="00FE11AF"/>
    <w:rsid w:val="00FE7516"/>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 w:type="paragraph" w:styleId="Revision">
    <w:name w:val="Revision"/>
    <w:hidden/>
    <w:uiPriority w:val="99"/>
    <w:semiHidden/>
    <w:rsid w:val="00452AEF"/>
    <w:pPr>
      <w:spacing w:after="0" w:line="240" w:lineRule="auto"/>
    </w:pPr>
    <w:rPr>
      <w:i/>
      <w:iCs/>
      <w:sz w:val="20"/>
      <w:szCs w:val="20"/>
    </w:rPr>
  </w:style>
  <w:style w:type="character" w:styleId="UnresolvedMention">
    <w:name w:val="Unresolved Mention"/>
    <w:basedOn w:val="DefaultParagraphFont"/>
    <w:uiPriority w:val="99"/>
    <w:semiHidden/>
    <w:unhideWhenUsed/>
    <w:rsid w:val="003B2F2C"/>
    <w:rPr>
      <w:color w:val="605E5C"/>
      <w:shd w:val="clear" w:color="auto" w:fill="E1DFDD"/>
    </w:rPr>
  </w:style>
  <w:style w:type="character" w:styleId="FollowedHyperlink">
    <w:name w:val="FollowedHyperlink"/>
    <w:basedOn w:val="DefaultParagraphFont"/>
    <w:uiPriority w:val="99"/>
    <w:semiHidden/>
    <w:unhideWhenUsed/>
    <w:rsid w:val="00567F1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3.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customXml/itemProps4.xml><?xml version="1.0" encoding="utf-8"?>
<ds:datastoreItem xmlns:ds="http://schemas.openxmlformats.org/officeDocument/2006/customXml" ds:itemID="{558CDBD3-9F38-45C0-B09F-17E9709BF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2022-08-18T17:14:00Z</dcterms:created>
  <dcterms:modified xsi:type="dcterms:W3CDTF">2022-08-26T19:16:00Z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