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441" w:tblpY="1519"/>
        <w:tblW w:w="11340" w:type="dxa"/>
        <w:tblLayout w:type="fixed"/>
        <w:tblLook w:val="04A0" w:firstRow="1" w:lastRow="0" w:firstColumn="1" w:lastColumn="0" w:noHBand="0" w:noVBand="1"/>
        <w:tblCaption w:val="Table"/>
        <w:tblDescription w:val="Table with checklist for a healthy lifestyle plan for each day of the week"/>
      </w:tblPr>
      <w:tblGrid>
        <w:gridCol w:w="6115"/>
        <w:gridCol w:w="1530"/>
        <w:gridCol w:w="3695"/>
      </w:tblGrid>
      <w:tr w:rsidR="00804529" w:rsidRPr="00A31DBB" w14:paraId="05AD2E90" w14:textId="77777777" w:rsidTr="00B7562D">
        <w:trPr>
          <w:trHeight w:val="71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1E646F85" w:rsidR="00804529" w:rsidRPr="00A31DBB" w:rsidRDefault="00055A50" w:rsidP="00B7562D">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April</w:t>
            </w:r>
            <w:r w:rsidR="00804529" w:rsidRPr="00A31DBB">
              <w:rPr>
                <w:rFonts w:asciiTheme="majorHAnsi" w:hAnsiTheme="majorHAnsi"/>
                <w:b/>
                <w:bCs/>
                <w:i w:val="0"/>
                <w:iCs w:val="0"/>
              </w:rPr>
              <w:t xml:space="preserve"> 202</w:t>
            </w:r>
            <w:r w:rsidR="006A6575" w:rsidRPr="00A31DBB">
              <w:rPr>
                <w:rFonts w:asciiTheme="majorHAnsi" w:hAnsiTheme="majorHAnsi"/>
                <w:b/>
                <w:bCs/>
                <w:i w:val="0"/>
                <w:iCs w:val="0"/>
              </w:rPr>
              <w:t>2</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B7562D">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3695"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B7562D">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B7562D">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B7562D">
        <w:trPr>
          <w:trHeight w:val="262"/>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B7562D">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B7562D">
        <w:trPr>
          <w:trHeight w:val="7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2A7D0CA7" w:rsidR="002C104B" w:rsidRPr="00B5481B" w:rsidRDefault="002C104B" w:rsidP="00B7562D">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 xml:space="preserve">Download Blotter from Custodian and review for any irregular trading patterns, trade errors, trade discrepancies or large amounts of trading in one account. </w:t>
            </w:r>
            <w:r w:rsidR="0026738D" w:rsidRPr="00B5481B">
              <w:rPr>
                <w:rFonts w:ascii="Century Gothic" w:hAnsi="Century Gothic"/>
                <w:i w:val="0"/>
                <w:iCs w:val="0"/>
              </w:rPr>
              <w:t xml:space="preserve"> (Or</w:t>
            </w:r>
            <w:r w:rsidRPr="00B5481B">
              <w:rPr>
                <w:rFonts w:ascii="Century Gothic" w:hAnsi="Century Gothic"/>
                <w:i w:val="0"/>
                <w:iCs w:val="0"/>
              </w:rPr>
              <w:t xml:space="preserve"> </w:t>
            </w:r>
            <w:r w:rsidRPr="00B5481B">
              <w:rPr>
                <w:rFonts w:ascii="Century Gothic" w:hAnsi="Century Gothic"/>
              </w:rPr>
              <w:t>Monthly</w:t>
            </w:r>
            <w:r w:rsidR="0026738D" w:rsidRPr="00B5481B">
              <w:rPr>
                <w:rFonts w:ascii="Century Gothic" w:hAnsi="Century Gothic"/>
              </w:rPr>
              <w:t>)</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2E95890" w14:textId="5FF2300A" w:rsidR="002C104B" w:rsidRPr="00B5481B" w:rsidRDefault="002C104B"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6885EDC4" w:rsidR="002C104B" w:rsidRPr="00B5481B" w:rsidRDefault="002C104B" w:rsidP="00B7562D">
            <w:pPr>
              <w:spacing w:before="80" w:after="80" w:line="240" w:lineRule="auto"/>
              <w:ind w:right="158"/>
              <w:rPr>
                <w:rFonts w:ascii="Century Gothic" w:hAnsi="Century Gothic"/>
                <w:i w:val="0"/>
                <w:iCs w:val="0"/>
              </w:rPr>
            </w:pPr>
          </w:p>
        </w:tc>
      </w:tr>
      <w:tr w:rsidR="002C104B" w:rsidRPr="004642DA" w14:paraId="027BE3ED" w14:textId="77777777" w:rsidTr="00B7562D">
        <w:trPr>
          <w:trHeight w:val="138"/>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23E31920" w:rsidR="002C104B" w:rsidRPr="000C78A0" w:rsidRDefault="002C104B" w:rsidP="00B7562D">
            <w:pPr>
              <w:pStyle w:val="table"/>
              <w:tabs>
                <w:tab w:val="left" w:pos="3343"/>
              </w:tabs>
              <w:spacing w:before="120" w:after="120"/>
              <w:ind w:right="158"/>
              <w:rPr>
                <w:rFonts w:ascii="Century Gothic" w:hAnsi="Century Gothic"/>
                <w:b/>
                <w:bCs/>
                <w:i w:val="0"/>
                <w:iCs w:val="0"/>
              </w:rPr>
            </w:pPr>
            <w:r w:rsidRPr="00B5481B">
              <w:rPr>
                <w:rFonts w:ascii="Century Gothic" w:hAnsi="Century Gothic"/>
                <w:b/>
                <w:bCs/>
                <w:i w:val="0"/>
                <w:iCs w:val="0"/>
              </w:rPr>
              <w:t>Correspondence and Email Review</w:t>
            </w:r>
            <w:r w:rsidR="00A37207" w:rsidRPr="00B5481B">
              <w:rPr>
                <w:rFonts w:ascii="Century Gothic" w:hAnsi="Century Gothic"/>
                <w:i w:val="0"/>
                <w:iCs w:val="0"/>
              </w:rPr>
              <w:t>:</w:t>
            </w:r>
            <w:r w:rsidRPr="00B5481B">
              <w:rPr>
                <w:rFonts w:ascii="Century Gothic" w:hAnsi="Century Gothic"/>
                <w:i w:val="0"/>
                <w:iCs w:val="0"/>
              </w:rPr>
              <w:t xml:space="preserve"> Review staff</w:t>
            </w:r>
            <w:r w:rsidR="000152B8">
              <w:rPr>
                <w:rFonts w:ascii="Century Gothic" w:hAnsi="Century Gothic"/>
                <w:i w:val="0"/>
                <w:iCs w:val="0"/>
              </w:rPr>
              <w:t xml:space="preserve"> </w:t>
            </w:r>
            <w:r w:rsidRPr="00B5481B">
              <w:rPr>
                <w:rFonts w:ascii="Century Gothic" w:hAnsi="Century Gothic"/>
                <w:i w:val="0"/>
                <w:iCs w:val="0"/>
              </w:rPr>
              <w:t xml:space="preserve">correspondence, including email. </w:t>
            </w:r>
            <w:r w:rsidR="0026738D" w:rsidRPr="00B5481B">
              <w:rPr>
                <w:rFonts w:ascii="Century Gothic" w:hAnsi="Century Gothic"/>
              </w:rPr>
              <w:t>(Or</w:t>
            </w:r>
            <w:r w:rsidRPr="00B5481B">
              <w:rPr>
                <w:rFonts w:ascii="Century Gothic" w:hAnsi="Century Gothic"/>
              </w:rPr>
              <w:t xml:space="preserve"> Monthly</w:t>
            </w:r>
            <w:r w:rsidR="0026738D" w:rsidRPr="00B5481B">
              <w:rPr>
                <w:rFonts w:ascii="Century Gothic" w:hAnsi="Century Gothic"/>
              </w:rPr>
              <w:t>)</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134883BA" w:rsidR="002C104B" w:rsidRPr="00BE0EFA" w:rsidRDefault="002C104B"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B7562D">
            <w:pPr>
              <w:spacing w:before="80" w:after="80" w:line="240" w:lineRule="auto"/>
              <w:ind w:right="158"/>
              <w:rPr>
                <w:rFonts w:ascii="Century Gothic" w:hAnsi="Century Gothic"/>
                <w:i w:val="0"/>
                <w:iCs w:val="0"/>
              </w:rPr>
            </w:pPr>
          </w:p>
        </w:tc>
      </w:tr>
      <w:tr w:rsidR="00107A2A" w:rsidRPr="004642DA" w14:paraId="33F22D5E" w14:textId="77777777" w:rsidTr="00B7562D">
        <w:trPr>
          <w:trHeight w:val="307"/>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B7562D">
            <w:pPr>
              <w:spacing w:before="80" w:after="8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B7562D">
        <w:trPr>
          <w:trHeight w:val="7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41A21FFD" w:rsidR="002C104B" w:rsidRPr="002A7C10" w:rsidRDefault="002C104B" w:rsidP="00B7562D">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7B309EC9" w:rsidR="002C104B" w:rsidRPr="00BE0EFA" w:rsidRDefault="002C104B"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B7562D">
            <w:pPr>
              <w:spacing w:before="80" w:after="80" w:line="240" w:lineRule="auto"/>
              <w:ind w:right="158"/>
              <w:rPr>
                <w:rFonts w:ascii="Century Gothic" w:hAnsi="Century Gothic"/>
                <w:i w:val="0"/>
                <w:iCs w:val="0"/>
              </w:rPr>
            </w:pPr>
          </w:p>
        </w:tc>
      </w:tr>
      <w:tr w:rsidR="002C104B" w:rsidRPr="004642DA" w14:paraId="736E57DB" w14:textId="77777777" w:rsidTr="00B7562D">
        <w:trPr>
          <w:trHeight w:val="372"/>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B7562D">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5310E2" w:rsidRPr="00B5481B" w14:paraId="08240931" w14:textId="77777777" w:rsidTr="00B7562D">
        <w:trPr>
          <w:trHeight w:val="831"/>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tcPr>
          <w:p w14:paraId="00D1F47F" w14:textId="648B067A" w:rsidR="005310E2" w:rsidRPr="00EE6CD6" w:rsidRDefault="00B80C75" w:rsidP="00B7562D">
            <w:pPr>
              <w:spacing w:before="120" w:after="120" w:line="240" w:lineRule="auto"/>
              <w:ind w:right="72"/>
              <w:jc w:val="both"/>
              <w:rPr>
                <w:rFonts w:ascii="Century Gothic" w:eastAsia="Calibri" w:hAnsi="Century Gothic" w:cs="Calibri"/>
                <w:b/>
                <w:bCs/>
                <w:lang w:val="en-US"/>
              </w:rPr>
            </w:pPr>
            <w:r w:rsidRPr="00B80C75">
              <w:rPr>
                <w:rFonts w:ascii="Century Gothic" w:eastAsia="Calibri" w:hAnsi="Century Gothic" w:cs="Calibri"/>
                <w:b/>
                <w:bCs/>
                <w:i w:val="0"/>
                <w:iCs w:val="0"/>
                <w:lang w:val="en-US"/>
              </w:rPr>
              <w:t xml:space="preserve">Quarterly Attestation Review including Quarterly Personal Securities Transaction Reports, Political Contributions </w:t>
            </w:r>
            <w:r w:rsidR="00AF4A82">
              <w:rPr>
                <w:rFonts w:ascii="Century Gothic" w:eastAsia="Calibri" w:hAnsi="Century Gothic" w:cs="Calibri"/>
                <w:b/>
                <w:bCs/>
                <w:i w:val="0"/>
                <w:iCs w:val="0"/>
                <w:lang w:val="en-US"/>
              </w:rPr>
              <w:t xml:space="preserve">: </w:t>
            </w:r>
            <w:r w:rsidR="00171549" w:rsidRPr="00171549">
              <w:rPr>
                <w:rFonts w:ascii="Century Gothic" w:eastAsia="Calibri" w:hAnsi="Century Gothic" w:cs="Calibri"/>
                <w:i w:val="0"/>
                <w:iCs w:val="0"/>
                <w:lang w:val="en-US"/>
              </w:rPr>
              <w:t xml:space="preserve"> Refer to the CRP Compliance Questionnaire document.  It is to be completed by all Associated Persons each quarter.  This is a required document and must be kept on file.</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7F6906A3" w:rsidR="005310E2" w:rsidRPr="00B5481B" w:rsidRDefault="005310E2"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5310E2" w:rsidRPr="00B5481B" w:rsidRDefault="005310E2" w:rsidP="00B7562D">
            <w:pPr>
              <w:spacing w:before="80" w:after="80" w:line="240" w:lineRule="auto"/>
              <w:ind w:right="158"/>
              <w:rPr>
                <w:rFonts w:ascii="Century Gothic" w:hAnsi="Century Gothic"/>
                <w:i w:val="0"/>
                <w:iCs w:val="0"/>
              </w:rPr>
            </w:pPr>
          </w:p>
        </w:tc>
      </w:tr>
      <w:tr w:rsidR="005310E2" w:rsidRPr="00B5481B" w14:paraId="6FC4FF6E" w14:textId="77777777" w:rsidTr="00B7562D">
        <w:trPr>
          <w:trHeight w:val="831"/>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766B6F9B" w:rsidR="005310E2" w:rsidRPr="00B5481B" w:rsidRDefault="00E11D9C" w:rsidP="00B7562D">
            <w:pPr>
              <w:pStyle w:val="table"/>
              <w:tabs>
                <w:tab w:val="left" w:pos="3343"/>
              </w:tabs>
              <w:spacing w:before="120" w:after="120"/>
              <w:ind w:right="158"/>
              <w:jc w:val="both"/>
              <w:rPr>
                <w:rFonts w:ascii="Century Gothic" w:hAnsi="Century Gothic"/>
                <w:b/>
                <w:bCs/>
                <w:i w:val="0"/>
                <w:iCs w:val="0"/>
              </w:rPr>
            </w:pPr>
            <w:r w:rsidRPr="00E11D9C">
              <w:rPr>
                <w:rFonts w:ascii="Century Gothic" w:hAnsi="Century Gothic"/>
                <w:b/>
                <w:bCs/>
                <w:i w:val="0"/>
                <w:iCs w:val="0"/>
              </w:rPr>
              <w:t>Quarterly Compliance Meeting with Management</w:t>
            </w:r>
            <w:r w:rsidR="00AF4A82">
              <w:rPr>
                <w:rFonts w:ascii="Century Gothic" w:hAnsi="Century Gothic"/>
                <w:b/>
                <w:bCs/>
                <w:i w:val="0"/>
                <w:iCs w:val="0"/>
              </w:rPr>
              <w:t xml:space="preserve">: </w:t>
            </w:r>
            <w:r w:rsidR="00B44D0A" w:rsidRPr="00B44D0A">
              <w:rPr>
                <w:rFonts w:ascii="Century Gothic" w:hAnsi="Century Gothic"/>
                <w:i w:val="0"/>
                <w:iCs w:val="0"/>
              </w:rPr>
              <w:t xml:space="preserve"> Review any compliance matters that have arisen since the last regular meeting</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1D4BC8F4" w:rsidR="005310E2" w:rsidRPr="00B5481B" w:rsidRDefault="005310E2"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5310E2" w:rsidRPr="00B5481B" w:rsidRDefault="005310E2" w:rsidP="00B7562D">
            <w:pPr>
              <w:spacing w:before="80" w:after="80" w:line="240" w:lineRule="auto"/>
              <w:ind w:right="158"/>
              <w:rPr>
                <w:rFonts w:ascii="Century Gothic" w:hAnsi="Century Gothic"/>
                <w:i w:val="0"/>
                <w:iCs w:val="0"/>
              </w:rPr>
            </w:pPr>
          </w:p>
        </w:tc>
      </w:tr>
      <w:tr w:rsidR="00B44D0A" w:rsidRPr="00B5481B" w14:paraId="44F7713A" w14:textId="77777777" w:rsidTr="00B7562D">
        <w:trPr>
          <w:trHeight w:val="668"/>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4B0CD" w14:textId="5B4FB8EF" w:rsidR="00B44D0A" w:rsidRPr="00E11D9C" w:rsidRDefault="00EE1550" w:rsidP="00B7562D">
            <w:pPr>
              <w:pStyle w:val="table"/>
              <w:tabs>
                <w:tab w:val="left" w:pos="3343"/>
              </w:tabs>
              <w:spacing w:before="120" w:after="120"/>
              <w:ind w:right="158"/>
              <w:jc w:val="both"/>
              <w:rPr>
                <w:rFonts w:ascii="Century Gothic" w:hAnsi="Century Gothic"/>
                <w:b/>
                <w:bCs/>
                <w:i w:val="0"/>
                <w:iCs w:val="0"/>
              </w:rPr>
            </w:pPr>
            <w:r w:rsidRPr="00EE1550">
              <w:rPr>
                <w:rFonts w:ascii="Century Gothic" w:hAnsi="Century Gothic"/>
                <w:b/>
                <w:bCs/>
                <w:i w:val="0"/>
                <w:iCs w:val="0"/>
              </w:rPr>
              <w:t>Review Best Execution Report</w:t>
            </w:r>
            <w:r>
              <w:rPr>
                <w:rFonts w:ascii="Century Gothic" w:hAnsi="Century Gothic"/>
                <w:b/>
                <w:bCs/>
                <w:i w:val="0"/>
                <w:iCs w:val="0"/>
              </w:rPr>
              <w:t>:</w:t>
            </w:r>
            <w:r w:rsidR="00112018">
              <w:rPr>
                <w:rFonts w:ascii="Century Gothic" w:hAnsi="Century Gothic"/>
                <w:b/>
                <w:bCs/>
                <w:i w:val="0"/>
                <w:iCs w:val="0"/>
              </w:rPr>
              <w:t xml:space="preserve"> </w:t>
            </w:r>
            <w:r w:rsidR="00112018" w:rsidRPr="00112018">
              <w:rPr>
                <w:rFonts w:ascii="Century Gothic" w:hAnsi="Century Gothic"/>
                <w:i w:val="0"/>
                <w:iCs w:val="0"/>
              </w:rPr>
              <w:t>Obtain Best Execution Report from Custodian.  Review and document review in file.</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04F738E" w14:textId="4F1CC203" w:rsidR="00B44D0A" w:rsidRDefault="00B44D0A"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10C236" w14:textId="77777777" w:rsidR="00B44D0A" w:rsidRPr="00B5481B" w:rsidRDefault="00B44D0A" w:rsidP="00B7562D">
            <w:pPr>
              <w:spacing w:before="80" w:after="80" w:line="240" w:lineRule="auto"/>
              <w:ind w:right="158"/>
              <w:rPr>
                <w:rFonts w:ascii="Century Gothic" w:hAnsi="Century Gothic"/>
                <w:i w:val="0"/>
                <w:iCs w:val="0"/>
              </w:rPr>
            </w:pPr>
          </w:p>
        </w:tc>
      </w:tr>
      <w:tr w:rsidR="00B44D0A" w:rsidRPr="00B5481B" w14:paraId="679C1C3B" w14:textId="77777777" w:rsidTr="00B7562D">
        <w:trPr>
          <w:trHeight w:val="831"/>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0FE3A2" w14:textId="0B3A073D" w:rsidR="00B44D0A" w:rsidRPr="00E11D9C" w:rsidRDefault="00112018" w:rsidP="00B7562D">
            <w:pPr>
              <w:pStyle w:val="table"/>
              <w:tabs>
                <w:tab w:val="left" w:pos="3343"/>
              </w:tabs>
              <w:spacing w:before="120" w:after="120"/>
              <w:ind w:right="158"/>
              <w:jc w:val="both"/>
              <w:rPr>
                <w:rFonts w:ascii="Century Gothic" w:hAnsi="Century Gothic"/>
                <w:b/>
                <w:bCs/>
                <w:i w:val="0"/>
                <w:iCs w:val="0"/>
              </w:rPr>
            </w:pPr>
            <w:r w:rsidRPr="00112018">
              <w:rPr>
                <w:rFonts w:ascii="Century Gothic" w:hAnsi="Century Gothic"/>
                <w:b/>
                <w:bCs/>
                <w:i w:val="0"/>
                <w:iCs w:val="0"/>
              </w:rPr>
              <w:t>Review Billing Statements/Fee Calculations Report</w:t>
            </w:r>
            <w:r>
              <w:rPr>
                <w:rFonts w:ascii="Century Gothic" w:hAnsi="Century Gothic"/>
                <w:b/>
                <w:bCs/>
                <w:i w:val="0"/>
                <w:iCs w:val="0"/>
              </w:rPr>
              <w:t>:</w:t>
            </w:r>
            <w:r w:rsidR="00DD2CF7">
              <w:rPr>
                <w:rFonts w:ascii="Century Gothic" w:hAnsi="Century Gothic"/>
                <w:b/>
                <w:bCs/>
                <w:i w:val="0"/>
                <w:iCs w:val="0"/>
              </w:rPr>
              <w:t xml:space="preserve"> </w:t>
            </w:r>
            <w:r w:rsidR="00DD2CF7" w:rsidRPr="00DD2CF7">
              <w:rPr>
                <w:rFonts w:ascii="Century Gothic" w:hAnsi="Century Gothic"/>
                <w:b/>
                <w:bCs/>
                <w:i w:val="0"/>
                <w:iCs w:val="0"/>
              </w:rPr>
              <w:t xml:space="preserve">  </w:t>
            </w:r>
            <w:r w:rsidR="00DD2CF7" w:rsidRPr="00DD2CF7">
              <w:rPr>
                <w:rFonts w:ascii="Century Gothic" w:hAnsi="Century Gothic"/>
                <w:i w:val="0"/>
                <w:iCs w:val="0"/>
              </w:rPr>
              <w:t>Review billing statements/fee calculations report from custodian or billing program; take any necessary corrective action and document review; maintain in books and records.  This can be done monthly or quarterly.</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E9C7C1D" w14:textId="0F9B2D12" w:rsidR="00B44D0A" w:rsidRDefault="00B44D0A"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526292" w14:textId="77777777" w:rsidR="00B44D0A" w:rsidRPr="00B5481B" w:rsidRDefault="00B44D0A" w:rsidP="00B7562D">
            <w:pPr>
              <w:spacing w:before="80" w:after="80" w:line="240" w:lineRule="auto"/>
              <w:ind w:right="158"/>
              <w:rPr>
                <w:rFonts w:ascii="Century Gothic" w:hAnsi="Century Gothic"/>
                <w:i w:val="0"/>
                <w:iCs w:val="0"/>
              </w:rPr>
            </w:pPr>
          </w:p>
        </w:tc>
      </w:tr>
      <w:tr w:rsidR="00B045EA" w:rsidRPr="00B5481B" w14:paraId="522FBF5D" w14:textId="77777777" w:rsidTr="00B7562D">
        <w:trPr>
          <w:trHeight w:val="831"/>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970FF04" w14:textId="0F56F0D0" w:rsidR="00B045EA" w:rsidRPr="00112018" w:rsidRDefault="009214BD" w:rsidP="00B7562D">
            <w:pPr>
              <w:pStyle w:val="table"/>
              <w:tabs>
                <w:tab w:val="left" w:pos="3343"/>
              </w:tabs>
              <w:spacing w:before="120" w:after="120"/>
              <w:ind w:right="158"/>
              <w:jc w:val="both"/>
              <w:rPr>
                <w:rFonts w:ascii="Century Gothic" w:hAnsi="Century Gothic"/>
                <w:b/>
                <w:bCs/>
                <w:i w:val="0"/>
                <w:iCs w:val="0"/>
              </w:rPr>
            </w:pPr>
            <w:r w:rsidRPr="009214BD">
              <w:rPr>
                <w:rFonts w:ascii="Century Gothic" w:hAnsi="Century Gothic"/>
                <w:b/>
                <w:bCs/>
                <w:i w:val="0"/>
                <w:iCs w:val="0"/>
              </w:rPr>
              <w:t xml:space="preserve">Review of Terminated Accounts </w:t>
            </w:r>
            <w:r>
              <w:rPr>
                <w:rFonts w:ascii="Century Gothic" w:hAnsi="Century Gothic"/>
                <w:b/>
                <w:bCs/>
                <w:i w:val="0"/>
                <w:iCs w:val="0"/>
              </w:rPr>
              <w:t xml:space="preserve">: </w:t>
            </w:r>
            <w:r w:rsidRPr="009214BD">
              <w:rPr>
                <w:rFonts w:ascii="Century Gothic" w:hAnsi="Century Gothic"/>
                <w:b/>
                <w:bCs/>
                <w:i w:val="0"/>
                <w:iCs w:val="0"/>
              </w:rPr>
              <w:t xml:space="preserve"> </w:t>
            </w:r>
            <w:r w:rsidRPr="009214BD">
              <w:rPr>
                <w:rFonts w:ascii="Century Gothic" w:hAnsi="Century Gothic"/>
                <w:i w:val="0"/>
                <w:iCs w:val="0"/>
              </w:rPr>
              <w:t>Obtain a report that allows you to verify that amounts refunded to terminated client accounts are accurate and in accordance with your firm's procedures.</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F43156" w14:textId="5571F39A" w:rsidR="00B045EA" w:rsidRDefault="00B045EA"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915BE3A" w14:textId="77777777" w:rsidR="00B045EA" w:rsidRPr="00B5481B" w:rsidRDefault="00B045EA" w:rsidP="00B7562D">
            <w:pPr>
              <w:spacing w:before="80" w:after="80" w:line="240" w:lineRule="auto"/>
              <w:ind w:right="158"/>
              <w:rPr>
                <w:rFonts w:ascii="Century Gothic" w:hAnsi="Century Gothic"/>
                <w:i w:val="0"/>
                <w:iCs w:val="0"/>
              </w:rPr>
            </w:pPr>
          </w:p>
        </w:tc>
      </w:tr>
      <w:tr w:rsidR="001A740B" w:rsidRPr="00B5481B" w14:paraId="0A3EF0DE" w14:textId="77777777" w:rsidTr="00B7562D">
        <w:trPr>
          <w:trHeight w:val="6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49EB862" w14:textId="0C099B81" w:rsidR="001A740B" w:rsidRPr="009214BD" w:rsidRDefault="006E5F03" w:rsidP="00B7562D">
            <w:pPr>
              <w:pStyle w:val="table"/>
              <w:tabs>
                <w:tab w:val="left" w:pos="3343"/>
              </w:tabs>
              <w:spacing w:before="120" w:after="120"/>
              <w:ind w:right="158"/>
              <w:jc w:val="both"/>
              <w:rPr>
                <w:rFonts w:ascii="Century Gothic" w:hAnsi="Century Gothic"/>
                <w:b/>
                <w:bCs/>
                <w:i w:val="0"/>
                <w:iCs w:val="0"/>
              </w:rPr>
            </w:pPr>
            <w:r w:rsidRPr="006E5F03">
              <w:rPr>
                <w:rFonts w:ascii="Century Gothic" w:hAnsi="Century Gothic"/>
                <w:b/>
                <w:bCs/>
                <w:i w:val="0"/>
                <w:iCs w:val="0"/>
              </w:rPr>
              <w:t>Review Rollovers into the Firm in compliance with PTE 2020-02</w:t>
            </w:r>
            <w:r>
              <w:rPr>
                <w:rFonts w:ascii="Century Gothic" w:hAnsi="Century Gothic"/>
                <w:b/>
                <w:bCs/>
                <w:i w:val="0"/>
                <w:iCs w:val="0"/>
              </w:rPr>
              <w:t xml:space="preserve">: </w:t>
            </w:r>
            <w:r w:rsidRPr="006E5F03">
              <w:rPr>
                <w:rFonts w:ascii="Century Gothic" w:hAnsi="Century Gothic"/>
                <w:i w:val="0"/>
                <w:iCs w:val="0"/>
              </w:rPr>
              <w:t xml:space="preserve">Maintain and update a list of clients/accounts sourced from IRA rollovers and/or transfers.  Review each client to ensure a Rollover Analysis form is complete, best interest rationale is documented, Client Acknowledgement and evidence of review and supervision is on file.  Quarterly and/or monthly depending on number of </w:t>
            </w:r>
            <w:r>
              <w:rPr>
                <w:rFonts w:ascii="Century Gothic" w:hAnsi="Century Gothic"/>
                <w:i w:val="0"/>
                <w:iCs w:val="0"/>
              </w:rPr>
              <w:t xml:space="preserve">rollovers.  </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8145FC8" w14:textId="5A5DA439" w:rsidR="001A740B" w:rsidRDefault="001A740B" w:rsidP="00B7562D">
            <w:pPr>
              <w:pStyle w:val="table"/>
              <w:spacing w:before="80" w:after="8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0AB6498" w14:textId="77777777" w:rsidR="001A740B" w:rsidRPr="00B5481B" w:rsidRDefault="001A740B" w:rsidP="00B7562D">
            <w:pPr>
              <w:spacing w:before="80" w:after="80" w:line="240" w:lineRule="auto"/>
              <w:ind w:right="158"/>
              <w:rPr>
                <w:rFonts w:ascii="Century Gothic" w:hAnsi="Century Gothic"/>
                <w:i w:val="0"/>
                <w:iCs w:val="0"/>
              </w:rPr>
            </w:pPr>
          </w:p>
        </w:tc>
      </w:tr>
      <w:tr w:rsidR="00F83224" w:rsidRPr="00B5481B" w14:paraId="1B4E044E" w14:textId="77777777" w:rsidTr="00B7562D">
        <w:trPr>
          <w:trHeight w:val="386"/>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1203151F" w14:textId="0AA4EEF2" w:rsidR="00F83224" w:rsidRPr="00F83224" w:rsidRDefault="00F83224" w:rsidP="00B7562D">
            <w:pPr>
              <w:spacing w:before="80" w:after="80" w:line="240" w:lineRule="auto"/>
              <w:ind w:right="158"/>
              <w:rPr>
                <w:rFonts w:ascii="Century Gothic" w:hAnsi="Century Gothic"/>
                <w:i w:val="0"/>
                <w:iCs w:val="0"/>
                <w:highlight w:val="lightGray"/>
              </w:rPr>
            </w:pPr>
            <w:r w:rsidRPr="00B7562D">
              <w:rPr>
                <w:rFonts w:ascii="Century Gothic" w:hAnsi="Century Gothic"/>
                <w:b/>
                <w:bCs/>
                <w:i w:val="0"/>
                <w:iCs w:val="0"/>
              </w:rPr>
              <w:lastRenderedPageBreak/>
              <w:t>Frequency: Semi-Annually</w:t>
            </w:r>
          </w:p>
        </w:tc>
      </w:tr>
      <w:tr w:rsidR="006E4757" w:rsidRPr="00B5481B" w14:paraId="3FF7C1E9" w14:textId="77777777" w:rsidTr="00B7562D">
        <w:trPr>
          <w:trHeight w:val="116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F7EFD9" w14:textId="17FBFF86" w:rsidR="006E4757" w:rsidRPr="006E4757" w:rsidRDefault="00E90D1D" w:rsidP="00B7562D">
            <w:pPr>
              <w:pStyle w:val="table"/>
              <w:tabs>
                <w:tab w:val="left" w:pos="3343"/>
              </w:tabs>
              <w:spacing w:before="120" w:after="120"/>
              <w:ind w:right="158"/>
              <w:jc w:val="both"/>
              <w:rPr>
                <w:rFonts w:ascii="Century Gothic" w:hAnsi="Century Gothic"/>
                <w:b/>
                <w:bCs/>
                <w:i w:val="0"/>
                <w:iCs w:val="0"/>
                <w:highlight w:val="lightGray"/>
              </w:rPr>
            </w:pPr>
            <w:r w:rsidRPr="00E90D1D">
              <w:rPr>
                <w:rFonts w:ascii="Century Gothic" w:hAnsi="Century Gothic"/>
                <w:b/>
                <w:bCs/>
                <w:i w:val="0"/>
                <w:iCs w:val="0"/>
              </w:rPr>
              <w:t>Review of Zero Balances</w:t>
            </w:r>
            <w:r>
              <w:rPr>
                <w:rFonts w:ascii="Century Gothic" w:hAnsi="Century Gothic"/>
                <w:b/>
                <w:bCs/>
                <w:i w:val="0"/>
                <w:iCs w:val="0"/>
              </w:rPr>
              <w:t xml:space="preserve">: </w:t>
            </w:r>
            <w:r w:rsidRPr="00E90D1D">
              <w:rPr>
                <w:rFonts w:ascii="Century Gothic" w:hAnsi="Century Gothic"/>
                <w:i w:val="0"/>
                <w:iCs w:val="0"/>
              </w:rPr>
              <w:t>Obtain Zero Balance Report from custodian and identify all accounts  with a zero balance. This information can confirm cancellation of management by client.</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9B93A96" w14:textId="77777777" w:rsidR="006E4757" w:rsidRPr="006E4757" w:rsidRDefault="006E4757" w:rsidP="00B7562D">
            <w:pPr>
              <w:pStyle w:val="table"/>
              <w:spacing w:before="80" w:after="80"/>
              <w:ind w:right="158"/>
              <w:rPr>
                <w:rFonts w:ascii="Century Gothic" w:hAnsi="Century Gothic"/>
                <w:i w:val="0"/>
                <w:iCs w:val="0"/>
                <w:highlight w:val="lightGray"/>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20975C5" w14:textId="77777777" w:rsidR="006E4757" w:rsidRPr="006E4757" w:rsidRDefault="006E4757" w:rsidP="00B7562D">
            <w:pPr>
              <w:spacing w:before="80" w:after="80" w:line="240" w:lineRule="auto"/>
              <w:ind w:right="158"/>
              <w:rPr>
                <w:rFonts w:ascii="Century Gothic" w:hAnsi="Century Gothic"/>
                <w:i w:val="0"/>
                <w:iCs w:val="0"/>
                <w:highlight w:val="lightGray"/>
              </w:rPr>
            </w:pPr>
          </w:p>
        </w:tc>
      </w:tr>
      <w:tr w:rsidR="006E4757" w:rsidRPr="00B5481B" w14:paraId="703BFE82" w14:textId="77777777" w:rsidTr="00B7562D">
        <w:trPr>
          <w:trHeight w:val="6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AB6F0DB" w14:textId="520DB67A" w:rsidR="006E4757" w:rsidRPr="006E4757" w:rsidRDefault="006257CA" w:rsidP="00B7562D">
            <w:pPr>
              <w:pStyle w:val="table"/>
              <w:tabs>
                <w:tab w:val="left" w:pos="3343"/>
              </w:tabs>
              <w:spacing w:before="120" w:after="120"/>
              <w:ind w:right="158"/>
              <w:jc w:val="both"/>
              <w:rPr>
                <w:rFonts w:ascii="Century Gothic" w:hAnsi="Century Gothic"/>
                <w:b/>
                <w:bCs/>
                <w:i w:val="0"/>
                <w:iCs w:val="0"/>
                <w:highlight w:val="lightGray"/>
              </w:rPr>
            </w:pPr>
            <w:r w:rsidRPr="007976F0">
              <w:rPr>
                <w:rFonts w:ascii="Century Gothic" w:hAnsi="Century Gothic"/>
                <w:b/>
                <w:bCs/>
                <w:i w:val="0"/>
                <w:iCs w:val="0"/>
              </w:rPr>
              <w:t>Review of Inactive Accounts for Reverse Churning (APRIL)-What is your firm doing to justify advisory fees if there are no trades on an account or active management</w:t>
            </w:r>
            <w:r>
              <w:rPr>
                <w:rFonts w:ascii="Century Gothic" w:hAnsi="Century Gothic"/>
                <w:b/>
                <w:bCs/>
                <w:i w:val="0"/>
                <w:iCs w:val="0"/>
              </w:rPr>
              <w:t xml:space="preserve">? </w:t>
            </w:r>
            <w:r w:rsidRPr="007976F0">
              <w:rPr>
                <w:rFonts w:ascii="Century Gothic" w:hAnsi="Century Gothic"/>
                <w:i w:val="0"/>
                <w:iCs w:val="0"/>
              </w:rPr>
              <w:t>This internal testing task is for accounts that are still clients but have no trading activity for the last year or 2 and are being billed an advisory fee each quarter.  If there is no active management, your firm should have a review process on those accounts to substantiate any compensation and it should be documented in their file.</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2E49D" w14:textId="77777777" w:rsidR="006E4757" w:rsidRPr="006E4757" w:rsidRDefault="006E4757" w:rsidP="00B7562D">
            <w:pPr>
              <w:pStyle w:val="table"/>
              <w:spacing w:before="80" w:after="80"/>
              <w:ind w:right="158"/>
              <w:rPr>
                <w:rFonts w:ascii="Century Gothic" w:hAnsi="Century Gothic"/>
                <w:i w:val="0"/>
                <w:iCs w:val="0"/>
                <w:highlight w:val="lightGray"/>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C4939D3" w14:textId="77777777" w:rsidR="006E4757" w:rsidRPr="006E4757" w:rsidRDefault="006E4757" w:rsidP="00B7562D">
            <w:pPr>
              <w:spacing w:before="80" w:after="80" w:line="240" w:lineRule="auto"/>
              <w:ind w:right="158"/>
              <w:rPr>
                <w:rFonts w:ascii="Century Gothic" w:hAnsi="Century Gothic"/>
                <w:i w:val="0"/>
                <w:iCs w:val="0"/>
                <w:highlight w:val="lightGray"/>
              </w:rPr>
            </w:pPr>
          </w:p>
        </w:tc>
      </w:tr>
      <w:tr w:rsidR="00124813" w:rsidRPr="004642DA" w14:paraId="3D3376B4" w14:textId="77777777" w:rsidTr="00B7562D">
        <w:trPr>
          <w:trHeight w:val="226"/>
        </w:trPr>
        <w:tc>
          <w:tcPr>
            <w:tcW w:w="11340"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52E5303" w14:textId="383985CE" w:rsidR="00124813" w:rsidRPr="00B3452E" w:rsidRDefault="00124813" w:rsidP="00B7562D">
            <w:pPr>
              <w:spacing w:before="80" w:after="80" w:line="240" w:lineRule="auto"/>
              <w:ind w:right="158"/>
              <w:jc w:val="both"/>
              <w:rPr>
                <w:rFonts w:ascii="Century Gothic" w:hAnsi="Century Gothic"/>
                <w:b/>
                <w:bCs/>
                <w:i w:val="0"/>
                <w:iCs w:val="0"/>
              </w:rPr>
            </w:pPr>
            <w:r>
              <w:rPr>
                <w:rFonts w:ascii="Century Gothic" w:hAnsi="Century Gothic"/>
                <w:b/>
                <w:bCs/>
                <w:i w:val="0"/>
                <w:iCs w:val="0"/>
              </w:rPr>
              <w:t xml:space="preserve">Frequency: </w:t>
            </w:r>
            <w:r w:rsidR="00685375">
              <w:rPr>
                <w:rFonts w:ascii="Century Gothic" w:hAnsi="Century Gothic"/>
                <w:b/>
                <w:bCs/>
                <w:i w:val="0"/>
                <w:iCs w:val="0"/>
              </w:rPr>
              <w:t>Annually</w:t>
            </w:r>
          </w:p>
        </w:tc>
      </w:tr>
      <w:tr w:rsidR="005310E2" w:rsidRPr="00B5481B" w14:paraId="3D613F90" w14:textId="77777777" w:rsidTr="00B7562D">
        <w:trPr>
          <w:trHeight w:val="7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0DF24500" w:rsidR="005310E2" w:rsidRPr="00B5481B" w:rsidRDefault="00445302" w:rsidP="00B7562D">
            <w:pPr>
              <w:pStyle w:val="table"/>
              <w:tabs>
                <w:tab w:val="left" w:pos="3343"/>
              </w:tabs>
              <w:spacing w:before="120" w:after="120"/>
              <w:ind w:right="165"/>
              <w:jc w:val="both"/>
              <w:rPr>
                <w:rFonts w:ascii="Century Gothic" w:hAnsi="Century Gothic"/>
                <w:b/>
                <w:bCs/>
                <w:i w:val="0"/>
                <w:iCs w:val="0"/>
              </w:rPr>
            </w:pPr>
            <w:r w:rsidRPr="00445302">
              <w:rPr>
                <w:rFonts w:ascii="Century Gothic" w:hAnsi="Century Gothic"/>
                <w:b/>
                <w:bCs/>
                <w:i w:val="0"/>
                <w:iCs w:val="0"/>
              </w:rPr>
              <w:t>Annual Certification for FINRA Entitlements</w:t>
            </w:r>
            <w:r>
              <w:rPr>
                <w:rFonts w:ascii="Century Gothic" w:hAnsi="Century Gothic"/>
                <w:b/>
                <w:bCs/>
                <w:i w:val="0"/>
                <w:iCs w:val="0"/>
              </w:rPr>
              <w:t>:</w:t>
            </w:r>
            <w:r w:rsidRPr="00445302">
              <w:rPr>
                <w:rFonts w:ascii="Century Gothic" w:hAnsi="Century Gothic"/>
                <w:b/>
                <w:bCs/>
                <w:i w:val="0"/>
                <w:iCs w:val="0"/>
              </w:rPr>
              <w:t xml:space="preserve"> </w:t>
            </w:r>
            <w:r w:rsidRPr="00445302">
              <w:rPr>
                <w:rFonts w:ascii="Century Gothic" w:hAnsi="Century Gothic"/>
                <w:i w:val="0"/>
                <w:iCs w:val="0"/>
              </w:rPr>
              <w:t>Super Account Administrator (SAA) designation to be completed between April 20th and July 20th.  Please contact your CRP representative to confirm who should have account access in Firm Gateway for your firm.</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DF5485" w14:textId="67BBEB59" w:rsidR="005310E2" w:rsidRPr="00B5481B" w:rsidRDefault="005310E2" w:rsidP="00B7562D">
            <w:pPr>
              <w:pStyle w:val="table"/>
              <w:spacing w:before="120" w:after="12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77777777" w:rsidR="005310E2" w:rsidRPr="00B5481B" w:rsidRDefault="005310E2" w:rsidP="00B7562D">
            <w:pPr>
              <w:spacing w:before="120" w:after="120" w:line="240" w:lineRule="auto"/>
              <w:ind w:right="158"/>
              <w:rPr>
                <w:rFonts w:ascii="Century Gothic" w:hAnsi="Century Gothic"/>
                <w:i w:val="0"/>
                <w:iCs w:val="0"/>
              </w:rPr>
            </w:pPr>
          </w:p>
        </w:tc>
      </w:tr>
      <w:tr w:rsidR="00A25C91" w:rsidRPr="00B5481B" w14:paraId="604D1594" w14:textId="77777777" w:rsidTr="00B7562D">
        <w:trPr>
          <w:trHeight w:val="1223"/>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3C46DDE" w14:textId="32E9935B" w:rsidR="00A25C91" w:rsidRPr="00A25C91" w:rsidRDefault="0080438E" w:rsidP="00B7562D">
            <w:pPr>
              <w:pStyle w:val="table"/>
              <w:tabs>
                <w:tab w:val="left" w:pos="3343"/>
              </w:tabs>
              <w:spacing w:before="120" w:after="120"/>
              <w:ind w:right="165"/>
              <w:jc w:val="both"/>
              <w:rPr>
                <w:rFonts w:ascii="Century Gothic" w:hAnsi="Century Gothic"/>
                <w:b/>
                <w:bCs/>
                <w:i w:val="0"/>
                <w:iCs w:val="0"/>
              </w:rPr>
            </w:pPr>
            <w:r w:rsidRPr="0080438E">
              <w:rPr>
                <w:rFonts w:ascii="Century Gothic" w:hAnsi="Century Gothic"/>
                <w:b/>
                <w:bCs/>
                <w:i w:val="0"/>
                <w:iCs w:val="0"/>
              </w:rPr>
              <w:t>Form U4 and Part 2B Review</w:t>
            </w:r>
            <w:r w:rsidRPr="0080438E">
              <w:rPr>
                <w:rFonts w:ascii="Century Gothic" w:hAnsi="Century Gothic"/>
                <w:i w:val="0"/>
                <w:iCs w:val="0"/>
              </w:rPr>
              <w:t>: Distribute Forms U4 and Part 2B brochure supplements to Registered Persons to Confirm Accuracy of Disclosures.  Ensure all designations are up to date.</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B7B2FF" w14:textId="20A15162" w:rsidR="00A25C91" w:rsidRPr="00B5481B" w:rsidRDefault="00A25C91" w:rsidP="00B7562D">
            <w:pPr>
              <w:pStyle w:val="table"/>
              <w:spacing w:before="120" w:after="12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F5A8FD7" w14:textId="77777777" w:rsidR="00A25C91" w:rsidRPr="00B5481B" w:rsidRDefault="00A25C91" w:rsidP="00B7562D">
            <w:pPr>
              <w:spacing w:before="120" w:after="120" w:line="240" w:lineRule="auto"/>
              <w:ind w:right="158"/>
              <w:rPr>
                <w:rFonts w:ascii="Century Gothic" w:hAnsi="Century Gothic"/>
                <w:i w:val="0"/>
                <w:iCs w:val="0"/>
              </w:rPr>
            </w:pPr>
          </w:p>
        </w:tc>
      </w:tr>
      <w:tr w:rsidR="0080438E" w:rsidRPr="00B5481B" w14:paraId="47A98AD5" w14:textId="77777777" w:rsidTr="00B7562D">
        <w:trPr>
          <w:trHeight w:val="962"/>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5FA148C" w14:textId="12A6B60A" w:rsidR="0080438E" w:rsidRPr="0080438E" w:rsidRDefault="005425F2" w:rsidP="00B7562D">
            <w:pPr>
              <w:pStyle w:val="table"/>
              <w:tabs>
                <w:tab w:val="left" w:pos="3343"/>
              </w:tabs>
              <w:spacing w:before="120" w:after="120"/>
              <w:ind w:right="165"/>
              <w:jc w:val="both"/>
              <w:rPr>
                <w:rFonts w:ascii="Century Gothic" w:hAnsi="Century Gothic"/>
                <w:b/>
                <w:bCs/>
                <w:i w:val="0"/>
                <w:iCs w:val="0"/>
              </w:rPr>
            </w:pPr>
            <w:r w:rsidRPr="005425F2">
              <w:rPr>
                <w:rFonts w:ascii="Century Gothic" w:hAnsi="Century Gothic"/>
                <w:b/>
                <w:bCs/>
                <w:i w:val="0"/>
                <w:iCs w:val="0"/>
              </w:rPr>
              <w:t>Review Customer Complaint File</w:t>
            </w:r>
            <w:r>
              <w:rPr>
                <w:rFonts w:ascii="Century Gothic" w:hAnsi="Century Gothic"/>
                <w:b/>
                <w:bCs/>
                <w:i w:val="0"/>
                <w:iCs w:val="0"/>
              </w:rPr>
              <w:t xml:space="preserve">: </w:t>
            </w:r>
            <w:r w:rsidRPr="005425F2">
              <w:rPr>
                <w:rFonts w:ascii="Century Gothic" w:hAnsi="Century Gothic"/>
                <w:i w:val="0"/>
                <w:iCs w:val="0"/>
              </w:rPr>
              <w:t>Remind IARs of reporting all client grievances to Compliance. CCO will review complaints/grievances for potential U4 reporting</w:t>
            </w:r>
            <w:r w:rsidRPr="005425F2">
              <w:rPr>
                <w:rFonts w:ascii="Century Gothic" w:hAnsi="Century Gothic"/>
                <w:b/>
                <w:bCs/>
                <w:i w:val="0"/>
                <w:iCs w:val="0"/>
              </w:rPr>
              <w:t>.</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5F32FA1" w14:textId="4910B29F" w:rsidR="0080438E" w:rsidRPr="00B5481B" w:rsidRDefault="0080438E" w:rsidP="00B7562D">
            <w:pPr>
              <w:pStyle w:val="table"/>
              <w:spacing w:before="120" w:after="12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D76F534" w14:textId="77777777" w:rsidR="0080438E" w:rsidRPr="00B5481B" w:rsidRDefault="0080438E" w:rsidP="00B7562D">
            <w:pPr>
              <w:spacing w:before="120" w:after="120" w:line="240" w:lineRule="auto"/>
              <w:ind w:right="158"/>
              <w:rPr>
                <w:rFonts w:ascii="Century Gothic" w:hAnsi="Century Gothic"/>
                <w:i w:val="0"/>
                <w:iCs w:val="0"/>
              </w:rPr>
            </w:pPr>
          </w:p>
        </w:tc>
      </w:tr>
      <w:tr w:rsidR="00783136" w:rsidRPr="00B5481B" w14:paraId="0253D109" w14:textId="77777777" w:rsidTr="00B7562D">
        <w:trPr>
          <w:trHeight w:val="1320"/>
        </w:trPr>
        <w:tc>
          <w:tcPr>
            <w:tcW w:w="611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D04D5D3" w14:textId="447B4B6E" w:rsidR="00783136" w:rsidRPr="007976F0" w:rsidRDefault="00BB510F" w:rsidP="00B7562D">
            <w:pPr>
              <w:pStyle w:val="table"/>
              <w:tabs>
                <w:tab w:val="left" w:pos="3343"/>
              </w:tabs>
              <w:spacing w:before="120" w:after="120"/>
              <w:ind w:right="165"/>
              <w:jc w:val="both"/>
              <w:rPr>
                <w:rFonts w:ascii="Century Gothic" w:hAnsi="Century Gothic"/>
                <w:b/>
                <w:bCs/>
                <w:i w:val="0"/>
                <w:iCs w:val="0"/>
              </w:rPr>
            </w:pPr>
            <w:r w:rsidRPr="00BB510F">
              <w:rPr>
                <w:rFonts w:ascii="Century Gothic" w:hAnsi="Century Gothic"/>
                <w:b/>
                <w:bCs/>
                <w:i w:val="0"/>
                <w:iCs w:val="0"/>
              </w:rPr>
              <w:t>Send Privacy Policy* &amp; ADV Part 2 (or a list of material changes) to Clients</w:t>
            </w:r>
            <w:r>
              <w:rPr>
                <w:rFonts w:ascii="Century Gothic" w:hAnsi="Century Gothic"/>
                <w:b/>
                <w:bCs/>
                <w:i w:val="0"/>
                <w:iCs w:val="0"/>
              </w:rPr>
              <w:t xml:space="preserve">: </w:t>
            </w:r>
            <w:r w:rsidRPr="00BB510F">
              <w:rPr>
                <w:rFonts w:ascii="Century Gothic" w:hAnsi="Century Gothic"/>
                <w:i w:val="0"/>
                <w:iCs w:val="0"/>
              </w:rPr>
              <w:t>ADV Required annually by CCO, 120 days after FYE.  Send entire Form ADV Part 2 Brochure (or Item 2 - list of material changes to Form ADV Part 2 Brochure) to Clients. *Privacy Policy is only required to be sent if material changes are made</w:t>
            </w:r>
          </w:p>
        </w:tc>
        <w:tc>
          <w:tcPr>
            <w:tcW w:w="15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D8BCBA1" w14:textId="4DDD97AD" w:rsidR="00783136" w:rsidRDefault="00783136" w:rsidP="00B7562D">
            <w:pPr>
              <w:pStyle w:val="table"/>
              <w:spacing w:before="120" w:after="120"/>
              <w:ind w:right="158"/>
              <w:rPr>
                <w:rFonts w:ascii="Century Gothic" w:hAnsi="Century Gothic"/>
                <w:i w:val="0"/>
                <w:iCs w:val="0"/>
              </w:rPr>
            </w:pPr>
          </w:p>
        </w:tc>
        <w:tc>
          <w:tcPr>
            <w:tcW w:w="369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0FC060" w14:textId="77777777" w:rsidR="00783136" w:rsidRPr="00B5481B" w:rsidRDefault="00783136" w:rsidP="00B7562D">
            <w:pPr>
              <w:spacing w:before="120" w:after="120" w:line="240" w:lineRule="auto"/>
              <w:ind w:right="158"/>
              <w:rPr>
                <w:rFonts w:ascii="Century Gothic" w:hAnsi="Century Gothic"/>
                <w:i w:val="0"/>
                <w:iCs w:val="0"/>
              </w:rPr>
            </w:pPr>
          </w:p>
        </w:tc>
      </w:tr>
    </w:tbl>
    <w:p w14:paraId="0FE1FB51" w14:textId="77777777" w:rsidR="00FF1974" w:rsidRPr="00286EBA" w:rsidRDefault="00FF1974" w:rsidP="0026738D">
      <w:pPr>
        <w:rPr>
          <w:b/>
          <w:bCs/>
          <w:i w:val="0"/>
          <w:iCs w:val="0"/>
          <w:color w:val="000000" w:themeColor="text1"/>
          <w:sz w:val="22"/>
          <w:szCs w:val="22"/>
        </w:rPr>
      </w:pPr>
    </w:p>
    <w:sectPr w:rsidR="00FF1974" w:rsidRPr="00286EBA" w:rsidSect="00FC1234">
      <w:headerReference w:type="default" r:id="rId11"/>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834A" w14:textId="77777777" w:rsidR="007402AE" w:rsidRDefault="007402AE" w:rsidP="00C72A58">
      <w:pPr>
        <w:spacing w:after="0" w:line="240" w:lineRule="auto"/>
      </w:pPr>
      <w:r>
        <w:separator/>
      </w:r>
    </w:p>
  </w:endnote>
  <w:endnote w:type="continuationSeparator" w:id="0">
    <w:p w14:paraId="68F8CDDC" w14:textId="77777777" w:rsidR="007402AE" w:rsidRDefault="007402AE" w:rsidP="00C72A58">
      <w:pPr>
        <w:spacing w:after="0" w:line="240" w:lineRule="auto"/>
      </w:pPr>
      <w:r>
        <w:continuationSeparator/>
      </w:r>
    </w:p>
  </w:endnote>
  <w:endnote w:type="continuationNotice" w:id="1">
    <w:p w14:paraId="5769D6C9" w14:textId="77777777" w:rsidR="007402AE" w:rsidRDefault="00740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F5FD" w14:textId="77777777" w:rsidR="007402AE" w:rsidRDefault="007402AE" w:rsidP="00C72A58">
      <w:pPr>
        <w:spacing w:after="0" w:line="240" w:lineRule="auto"/>
      </w:pPr>
      <w:r>
        <w:separator/>
      </w:r>
    </w:p>
  </w:footnote>
  <w:footnote w:type="continuationSeparator" w:id="0">
    <w:p w14:paraId="0DD6641D" w14:textId="77777777" w:rsidR="007402AE" w:rsidRDefault="007402AE" w:rsidP="00C72A58">
      <w:pPr>
        <w:spacing w:after="0" w:line="240" w:lineRule="auto"/>
      </w:pPr>
      <w:r>
        <w:continuationSeparator/>
      </w:r>
    </w:p>
  </w:footnote>
  <w:footnote w:type="continuationNotice" w:id="1">
    <w:p w14:paraId="37661953" w14:textId="77777777" w:rsidR="007402AE" w:rsidRDefault="00740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53990043">
    <w:abstractNumId w:val="27"/>
  </w:num>
  <w:num w:numId="2" w16cid:durableId="835651887">
    <w:abstractNumId w:val="25"/>
  </w:num>
  <w:num w:numId="3" w16cid:durableId="221210546">
    <w:abstractNumId w:val="23"/>
  </w:num>
  <w:num w:numId="4" w16cid:durableId="1696884944">
    <w:abstractNumId w:val="2"/>
  </w:num>
  <w:num w:numId="5" w16cid:durableId="72971890">
    <w:abstractNumId w:val="6"/>
  </w:num>
  <w:num w:numId="6" w16cid:durableId="801190371">
    <w:abstractNumId w:val="11"/>
  </w:num>
  <w:num w:numId="7" w16cid:durableId="1769961614">
    <w:abstractNumId w:val="18"/>
  </w:num>
  <w:num w:numId="8" w16cid:durableId="1259948271">
    <w:abstractNumId w:val="14"/>
  </w:num>
  <w:num w:numId="9" w16cid:durableId="805665520">
    <w:abstractNumId w:val="19"/>
  </w:num>
  <w:num w:numId="10" w16cid:durableId="1181431141">
    <w:abstractNumId w:val="12"/>
  </w:num>
  <w:num w:numId="11" w16cid:durableId="1991908827">
    <w:abstractNumId w:val="0"/>
  </w:num>
  <w:num w:numId="12" w16cid:durableId="1952741104">
    <w:abstractNumId w:val="28"/>
  </w:num>
  <w:num w:numId="13" w16cid:durableId="1483892648">
    <w:abstractNumId w:val="4"/>
  </w:num>
  <w:num w:numId="14" w16cid:durableId="1505240862">
    <w:abstractNumId w:val="20"/>
  </w:num>
  <w:num w:numId="15" w16cid:durableId="232858856">
    <w:abstractNumId w:val="5"/>
  </w:num>
  <w:num w:numId="16" w16cid:durableId="162742748">
    <w:abstractNumId w:val="10"/>
  </w:num>
  <w:num w:numId="17" w16cid:durableId="728698156">
    <w:abstractNumId w:val="8"/>
  </w:num>
  <w:num w:numId="18" w16cid:durableId="1956446899">
    <w:abstractNumId w:val="7"/>
  </w:num>
  <w:num w:numId="19" w16cid:durableId="697925022">
    <w:abstractNumId w:val="13"/>
  </w:num>
  <w:num w:numId="20" w16cid:durableId="1485704416">
    <w:abstractNumId w:val="21"/>
  </w:num>
  <w:num w:numId="21" w16cid:durableId="447047960">
    <w:abstractNumId w:val="15"/>
  </w:num>
  <w:num w:numId="22" w16cid:durableId="1558780017">
    <w:abstractNumId w:val="17"/>
  </w:num>
  <w:num w:numId="23" w16cid:durableId="140654175">
    <w:abstractNumId w:val="16"/>
  </w:num>
  <w:num w:numId="24" w16cid:durableId="1994219464">
    <w:abstractNumId w:val="24"/>
  </w:num>
  <w:num w:numId="25" w16cid:durableId="1073964362">
    <w:abstractNumId w:val="22"/>
  </w:num>
  <w:num w:numId="26" w16cid:durableId="629172616">
    <w:abstractNumId w:val="24"/>
  </w:num>
  <w:num w:numId="27" w16cid:durableId="1266688590">
    <w:abstractNumId w:val="26"/>
  </w:num>
  <w:num w:numId="28" w16cid:durableId="1249584043">
    <w:abstractNumId w:val="1"/>
  </w:num>
  <w:num w:numId="29" w16cid:durableId="1844467277">
    <w:abstractNumId w:val="9"/>
  </w:num>
  <w:num w:numId="30" w16cid:durableId="190048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2B8"/>
    <w:rsid w:val="000153F9"/>
    <w:rsid w:val="000169FE"/>
    <w:rsid w:val="00042186"/>
    <w:rsid w:val="00052E5F"/>
    <w:rsid w:val="00053CF4"/>
    <w:rsid w:val="00055A50"/>
    <w:rsid w:val="000603D2"/>
    <w:rsid w:val="00071054"/>
    <w:rsid w:val="00071CF0"/>
    <w:rsid w:val="00071E86"/>
    <w:rsid w:val="00072B16"/>
    <w:rsid w:val="00073325"/>
    <w:rsid w:val="00080643"/>
    <w:rsid w:val="000816A4"/>
    <w:rsid w:val="00083B67"/>
    <w:rsid w:val="00096446"/>
    <w:rsid w:val="00097011"/>
    <w:rsid w:val="000B44A1"/>
    <w:rsid w:val="000B667F"/>
    <w:rsid w:val="000C78A0"/>
    <w:rsid w:val="000D4130"/>
    <w:rsid w:val="000D4821"/>
    <w:rsid w:val="000E05E7"/>
    <w:rsid w:val="000E259E"/>
    <w:rsid w:val="000E30BC"/>
    <w:rsid w:val="000E5836"/>
    <w:rsid w:val="000F64D0"/>
    <w:rsid w:val="00101163"/>
    <w:rsid w:val="001050CA"/>
    <w:rsid w:val="0010521D"/>
    <w:rsid w:val="00107A2A"/>
    <w:rsid w:val="00111F2E"/>
    <w:rsid w:val="00112018"/>
    <w:rsid w:val="00117A91"/>
    <w:rsid w:val="001200C5"/>
    <w:rsid w:val="001206DD"/>
    <w:rsid w:val="00124813"/>
    <w:rsid w:val="00126C84"/>
    <w:rsid w:val="0013569C"/>
    <w:rsid w:val="00136972"/>
    <w:rsid w:val="001508D7"/>
    <w:rsid w:val="001539A8"/>
    <w:rsid w:val="00156EF4"/>
    <w:rsid w:val="00163B21"/>
    <w:rsid w:val="00170CCE"/>
    <w:rsid w:val="00171549"/>
    <w:rsid w:val="00181C40"/>
    <w:rsid w:val="00185F54"/>
    <w:rsid w:val="001866E2"/>
    <w:rsid w:val="001939D3"/>
    <w:rsid w:val="001960F7"/>
    <w:rsid w:val="00196C44"/>
    <w:rsid w:val="001A6BCC"/>
    <w:rsid w:val="001A740B"/>
    <w:rsid w:val="001B17E2"/>
    <w:rsid w:val="001B58C8"/>
    <w:rsid w:val="001C7270"/>
    <w:rsid w:val="001D1F7A"/>
    <w:rsid w:val="001E06F4"/>
    <w:rsid w:val="001E64AE"/>
    <w:rsid w:val="001F48C9"/>
    <w:rsid w:val="00212260"/>
    <w:rsid w:val="0021376A"/>
    <w:rsid w:val="00213862"/>
    <w:rsid w:val="0021660A"/>
    <w:rsid w:val="002265CD"/>
    <w:rsid w:val="00231D7B"/>
    <w:rsid w:val="0024258C"/>
    <w:rsid w:val="00243D32"/>
    <w:rsid w:val="002453E9"/>
    <w:rsid w:val="002523EB"/>
    <w:rsid w:val="002609F0"/>
    <w:rsid w:val="00260E45"/>
    <w:rsid w:val="002635D2"/>
    <w:rsid w:val="00265CAC"/>
    <w:rsid w:val="00266018"/>
    <w:rsid w:val="0026738D"/>
    <w:rsid w:val="002756F7"/>
    <w:rsid w:val="00277F6F"/>
    <w:rsid w:val="00281205"/>
    <w:rsid w:val="00286EBA"/>
    <w:rsid w:val="002935F4"/>
    <w:rsid w:val="0029769B"/>
    <w:rsid w:val="002A7C10"/>
    <w:rsid w:val="002B2511"/>
    <w:rsid w:val="002C104B"/>
    <w:rsid w:val="002C6E6B"/>
    <w:rsid w:val="002D1DA0"/>
    <w:rsid w:val="002D38D2"/>
    <w:rsid w:val="002D5215"/>
    <w:rsid w:val="002E253D"/>
    <w:rsid w:val="002E38B6"/>
    <w:rsid w:val="002E41A8"/>
    <w:rsid w:val="002E5067"/>
    <w:rsid w:val="002F0E70"/>
    <w:rsid w:val="00300400"/>
    <w:rsid w:val="003012F1"/>
    <w:rsid w:val="003014E0"/>
    <w:rsid w:val="00302221"/>
    <w:rsid w:val="00310CDA"/>
    <w:rsid w:val="0032038E"/>
    <w:rsid w:val="00325BF6"/>
    <w:rsid w:val="003325F2"/>
    <w:rsid w:val="00333A5A"/>
    <w:rsid w:val="00335D3D"/>
    <w:rsid w:val="00340E73"/>
    <w:rsid w:val="0034152F"/>
    <w:rsid w:val="00341F5C"/>
    <w:rsid w:val="003479E0"/>
    <w:rsid w:val="00356CCD"/>
    <w:rsid w:val="00362420"/>
    <w:rsid w:val="00372907"/>
    <w:rsid w:val="003733E7"/>
    <w:rsid w:val="00374BF1"/>
    <w:rsid w:val="00381B4A"/>
    <w:rsid w:val="00384929"/>
    <w:rsid w:val="00386F6C"/>
    <w:rsid w:val="00392D58"/>
    <w:rsid w:val="0039717B"/>
    <w:rsid w:val="00397A33"/>
    <w:rsid w:val="003A3495"/>
    <w:rsid w:val="003B03CE"/>
    <w:rsid w:val="003B2E36"/>
    <w:rsid w:val="003B6F9F"/>
    <w:rsid w:val="003C186C"/>
    <w:rsid w:val="003C5715"/>
    <w:rsid w:val="003D47EB"/>
    <w:rsid w:val="003E419F"/>
    <w:rsid w:val="003E5381"/>
    <w:rsid w:val="003E647F"/>
    <w:rsid w:val="003F11AA"/>
    <w:rsid w:val="003F5C74"/>
    <w:rsid w:val="003F63BF"/>
    <w:rsid w:val="003F668A"/>
    <w:rsid w:val="004018D8"/>
    <w:rsid w:val="004026E1"/>
    <w:rsid w:val="00403215"/>
    <w:rsid w:val="004211B3"/>
    <w:rsid w:val="00421DC4"/>
    <w:rsid w:val="00445302"/>
    <w:rsid w:val="0044538F"/>
    <w:rsid w:val="00446D3B"/>
    <w:rsid w:val="004642DA"/>
    <w:rsid w:val="00476DC0"/>
    <w:rsid w:val="00477666"/>
    <w:rsid w:val="00477F18"/>
    <w:rsid w:val="00481023"/>
    <w:rsid w:val="00483603"/>
    <w:rsid w:val="004947EB"/>
    <w:rsid w:val="0049773B"/>
    <w:rsid w:val="004A40BD"/>
    <w:rsid w:val="004A58C0"/>
    <w:rsid w:val="004B7167"/>
    <w:rsid w:val="004C0791"/>
    <w:rsid w:val="004D1605"/>
    <w:rsid w:val="004D1E21"/>
    <w:rsid w:val="004D2712"/>
    <w:rsid w:val="004D5683"/>
    <w:rsid w:val="004D6C21"/>
    <w:rsid w:val="004D7B50"/>
    <w:rsid w:val="004D7BA7"/>
    <w:rsid w:val="004E4907"/>
    <w:rsid w:val="004F413A"/>
    <w:rsid w:val="004F6407"/>
    <w:rsid w:val="00500AC4"/>
    <w:rsid w:val="0050475C"/>
    <w:rsid w:val="00504C67"/>
    <w:rsid w:val="00510551"/>
    <w:rsid w:val="00514ADF"/>
    <w:rsid w:val="005169A1"/>
    <w:rsid w:val="00517DF5"/>
    <w:rsid w:val="00525378"/>
    <w:rsid w:val="00526404"/>
    <w:rsid w:val="005310E2"/>
    <w:rsid w:val="005314E1"/>
    <w:rsid w:val="00531D65"/>
    <w:rsid w:val="00534301"/>
    <w:rsid w:val="005362EF"/>
    <w:rsid w:val="00537560"/>
    <w:rsid w:val="005425F2"/>
    <w:rsid w:val="00544A99"/>
    <w:rsid w:val="00546D3B"/>
    <w:rsid w:val="005504CD"/>
    <w:rsid w:val="005507E3"/>
    <w:rsid w:val="00561A99"/>
    <w:rsid w:val="00562A2E"/>
    <w:rsid w:val="0056634A"/>
    <w:rsid w:val="00572DF0"/>
    <w:rsid w:val="00574021"/>
    <w:rsid w:val="00574255"/>
    <w:rsid w:val="005816B2"/>
    <w:rsid w:val="0058358C"/>
    <w:rsid w:val="00587F22"/>
    <w:rsid w:val="005A6523"/>
    <w:rsid w:val="005A6609"/>
    <w:rsid w:val="005B40FE"/>
    <w:rsid w:val="005B59B2"/>
    <w:rsid w:val="005B6DA8"/>
    <w:rsid w:val="005C4DCB"/>
    <w:rsid w:val="005D4B8F"/>
    <w:rsid w:val="005E76C0"/>
    <w:rsid w:val="00603B24"/>
    <w:rsid w:val="00611D7F"/>
    <w:rsid w:val="00614894"/>
    <w:rsid w:val="00614B0B"/>
    <w:rsid w:val="00615445"/>
    <w:rsid w:val="00622991"/>
    <w:rsid w:val="006257CA"/>
    <w:rsid w:val="00626256"/>
    <w:rsid w:val="006268D8"/>
    <w:rsid w:val="00627DC4"/>
    <w:rsid w:val="006307EF"/>
    <w:rsid w:val="00635404"/>
    <w:rsid w:val="006428A1"/>
    <w:rsid w:val="006445F8"/>
    <w:rsid w:val="00646C65"/>
    <w:rsid w:val="0064768A"/>
    <w:rsid w:val="00652E6E"/>
    <w:rsid w:val="00653A8E"/>
    <w:rsid w:val="0065613F"/>
    <w:rsid w:val="00663DB6"/>
    <w:rsid w:val="00664788"/>
    <w:rsid w:val="0066727C"/>
    <w:rsid w:val="0067216F"/>
    <w:rsid w:val="00675B15"/>
    <w:rsid w:val="00680CC0"/>
    <w:rsid w:val="00681242"/>
    <w:rsid w:val="006816E3"/>
    <w:rsid w:val="00683972"/>
    <w:rsid w:val="00684CD1"/>
    <w:rsid w:val="00684F96"/>
    <w:rsid w:val="00685375"/>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E4757"/>
    <w:rsid w:val="006E5048"/>
    <w:rsid w:val="006E54DD"/>
    <w:rsid w:val="006E5F03"/>
    <w:rsid w:val="006F63A7"/>
    <w:rsid w:val="006F7CFE"/>
    <w:rsid w:val="00714D58"/>
    <w:rsid w:val="007164D1"/>
    <w:rsid w:val="007304E1"/>
    <w:rsid w:val="0073261D"/>
    <w:rsid w:val="007327C6"/>
    <w:rsid w:val="00733938"/>
    <w:rsid w:val="007341F6"/>
    <w:rsid w:val="00735A01"/>
    <w:rsid w:val="007402AE"/>
    <w:rsid w:val="00741972"/>
    <w:rsid w:val="00741FD2"/>
    <w:rsid w:val="0074205D"/>
    <w:rsid w:val="007428BC"/>
    <w:rsid w:val="00747D45"/>
    <w:rsid w:val="0075053E"/>
    <w:rsid w:val="007550FB"/>
    <w:rsid w:val="00756463"/>
    <w:rsid w:val="00756F73"/>
    <w:rsid w:val="0076528E"/>
    <w:rsid w:val="007701B1"/>
    <w:rsid w:val="00771DED"/>
    <w:rsid w:val="0077200C"/>
    <w:rsid w:val="00774810"/>
    <w:rsid w:val="00774AD3"/>
    <w:rsid w:val="00782780"/>
    <w:rsid w:val="00783136"/>
    <w:rsid w:val="0078472C"/>
    <w:rsid w:val="0079197B"/>
    <w:rsid w:val="00794B08"/>
    <w:rsid w:val="007976F0"/>
    <w:rsid w:val="007A203F"/>
    <w:rsid w:val="007A31DE"/>
    <w:rsid w:val="007B6100"/>
    <w:rsid w:val="007C4AD1"/>
    <w:rsid w:val="007C6145"/>
    <w:rsid w:val="007D5AA3"/>
    <w:rsid w:val="007D625E"/>
    <w:rsid w:val="007D7358"/>
    <w:rsid w:val="007E7AD8"/>
    <w:rsid w:val="007F560D"/>
    <w:rsid w:val="007F5BD0"/>
    <w:rsid w:val="007F6C12"/>
    <w:rsid w:val="0080438E"/>
    <w:rsid w:val="00804529"/>
    <w:rsid w:val="00805F99"/>
    <w:rsid w:val="0080610B"/>
    <w:rsid w:val="008111F1"/>
    <w:rsid w:val="008143EC"/>
    <w:rsid w:val="00815EBA"/>
    <w:rsid w:val="0082332E"/>
    <w:rsid w:val="00832DBC"/>
    <w:rsid w:val="00833CEC"/>
    <w:rsid w:val="00845DAB"/>
    <w:rsid w:val="00854426"/>
    <w:rsid w:val="00854EBB"/>
    <w:rsid w:val="008613EB"/>
    <w:rsid w:val="008621CA"/>
    <w:rsid w:val="008662EB"/>
    <w:rsid w:val="008729AF"/>
    <w:rsid w:val="008755B1"/>
    <w:rsid w:val="008806E5"/>
    <w:rsid w:val="00882954"/>
    <w:rsid w:val="00883A4B"/>
    <w:rsid w:val="008843FE"/>
    <w:rsid w:val="008926D8"/>
    <w:rsid w:val="0089683D"/>
    <w:rsid w:val="008A2910"/>
    <w:rsid w:val="008A4099"/>
    <w:rsid w:val="008B397C"/>
    <w:rsid w:val="008C1D41"/>
    <w:rsid w:val="008C29F9"/>
    <w:rsid w:val="008C6C15"/>
    <w:rsid w:val="008D11DF"/>
    <w:rsid w:val="008D5F5D"/>
    <w:rsid w:val="008E2498"/>
    <w:rsid w:val="008E378A"/>
    <w:rsid w:val="008E405B"/>
    <w:rsid w:val="008E4FA1"/>
    <w:rsid w:val="008E6076"/>
    <w:rsid w:val="008F05C5"/>
    <w:rsid w:val="008F3177"/>
    <w:rsid w:val="008F3294"/>
    <w:rsid w:val="008F4A12"/>
    <w:rsid w:val="008F567B"/>
    <w:rsid w:val="009025A4"/>
    <w:rsid w:val="00904073"/>
    <w:rsid w:val="009107F9"/>
    <w:rsid w:val="009179B7"/>
    <w:rsid w:val="009214BD"/>
    <w:rsid w:val="00921678"/>
    <w:rsid w:val="00931DD8"/>
    <w:rsid w:val="00933346"/>
    <w:rsid w:val="0093426A"/>
    <w:rsid w:val="0093640A"/>
    <w:rsid w:val="00937B54"/>
    <w:rsid w:val="0095121C"/>
    <w:rsid w:val="0095150E"/>
    <w:rsid w:val="009523AF"/>
    <w:rsid w:val="009527BD"/>
    <w:rsid w:val="009659D7"/>
    <w:rsid w:val="00972926"/>
    <w:rsid w:val="009834F9"/>
    <w:rsid w:val="009835D2"/>
    <w:rsid w:val="0098682E"/>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4A9B"/>
    <w:rsid w:val="009D59DA"/>
    <w:rsid w:val="009D64DC"/>
    <w:rsid w:val="009F0F2B"/>
    <w:rsid w:val="009F4BEC"/>
    <w:rsid w:val="009F4EDC"/>
    <w:rsid w:val="00A07B77"/>
    <w:rsid w:val="00A13FA8"/>
    <w:rsid w:val="00A14C14"/>
    <w:rsid w:val="00A23054"/>
    <w:rsid w:val="00A23B77"/>
    <w:rsid w:val="00A249BB"/>
    <w:rsid w:val="00A25C91"/>
    <w:rsid w:val="00A30531"/>
    <w:rsid w:val="00A31DBB"/>
    <w:rsid w:val="00A31FE6"/>
    <w:rsid w:val="00A32D3B"/>
    <w:rsid w:val="00A33147"/>
    <w:rsid w:val="00A37207"/>
    <w:rsid w:val="00A37F33"/>
    <w:rsid w:val="00A37F8A"/>
    <w:rsid w:val="00A44F8E"/>
    <w:rsid w:val="00A541E0"/>
    <w:rsid w:val="00A565B2"/>
    <w:rsid w:val="00A83424"/>
    <w:rsid w:val="00A94109"/>
    <w:rsid w:val="00A9694C"/>
    <w:rsid w:val="00A97C3D"/>
    <w:rsid w:val="00AA1728"/>
    <w:rsid w:val="00AA61CD"/>
    <w:rsid w:val="00AA7EDB"/>
    <w:rsid w:val="00AC0AB5"/>
    <w:rsid w:val="00AC0CAF"/>
    <w:rsid w:val="00AC295A"/>
    <w:rsid w:val="00AC6FDD"/>
    <w:rsid w:val="00AC7B5D"/>
    <w:rsid w:val="00AD115A"/>
    <w:rsid w:val="00AE3096"/>
    <w:rsid w:val="00AF0E85"/>
    <w:rsid w:val="00AF4A82"/>
    <w:rsid w:val="00AF6E3F"/>
    <w:rsid w:val="00B045EA"/>
    <w:rsid w:val="00B0730F"/>
    <w:rsid w:val="00B16B78"/>
    <w:rsid w:val="00B17DB9"/>
    <w:rsid w:val="00B20406"/>
    <w:rsid w:val="00B311CF"/>
    <w:rsid w:val="00B31979"/>
    <w:rsid w:val="00B32A9C"/>
    <w:rsid w:val="00B33529"/>
    <w:rsid w:val="00B339D4"/>
    <w:rsid w:val="00B34FAD"/>
    <w:rsid w:val="00B374E1"/>
    <w:rsid w:val="00B44D0A"/>
    <w:rsid w:val="00B5481B"/>
    <w:rsid w:val="00B6028C"/>
    <w:rsid w:val="00B64705"/>
    <w:rsid w:val="00B7562D"/>
    <w:rsid w:val="00B80C75"/>
    <w:rsid w:val="00B81DB9"/>
    <w:rsid w:val="00B86312"/>
    <w:rsid w:val="00B915B2"/>
    <w:rsid w:val="00B959B3"/>
    <w:rsid w:val="00BA2C2F"/>
    <w:rsid w:val="00BA6FBC"/>
    <w:rsid w:val="00BB289B"/>
    <w:rsid w:val="00BB510F"/>
    <w:rsid w:val="00BC1234"/>
    <w:rsid w:val="00BC2BAB"/>
    <w:rsid w:val="00BC3098"/>
    <w:rsid w:val="00BC5067"/>
    <w:rsid w:val="00BD22EA"/>
    <w:rsid w:val="00BD3302"/>
    <w:rsid w:val="00BE0EFA"/>
    <w:rsid w:val="00BE5DEE"/>
    <w:rsid w:val="00BF6023"/>
    <w:rsid w:val="00C06C46"/>
    <w:rsid w:val="00C265CC"/>
    <w:rsid w:val="00C27BF3"/>
    <w:rsid w:val="00C3494E"/>
    <w:rsid w:val="00C43ACA"/>
    <w:rsid w:val="00C43F2D"/>
    <w:rsid w:val="00C4491C"/>
    <w:rsid w:val="00C500EF"/>
    <w:rsid w:val="00C51ED3"/>
    <w:rsid w:val="00C60B3E"/>
    <w:rsid w:val="00C61CA7"/>
    <w:rsid w:val="00C6683B"/>
    <w:rsid w:val="00C71B3F"/>
    <w:rsid w:val="00C72A58"/>
    <w:rsid w:val="00C73E4B"/>
    <w:rsid w:val="00C746C2"/>
    <w:rsid w:val="00C80F6A"/>
    <w:rsid w:val="00C91106"/>
    <w:rsid w:val="00C93DD5"/>
    <w:rsid w:val="00CA34E2"/>
    <w:rsid w:val="00CA5351"/>
    <w:rsid w:val="00CA5CF1"/>
    <w:rsid w:val="00CB67EA"/>
    <w:rsid w:val="00CC53E7"/>
    <w:rsid w:val="00CD33AF"/>
    <w:rsid w:val="00CD642A"/>
    <w:rsid w:val="00CE4F0A"/>
    <w:rsid w:val="00CE6907"/>
    <w:rsid w:val="00CF3F5E"/>
    <w:rsid w:val="00D02F35"/>
    <w:rsid w:val="00D04CC3"/>
    <w:rsid w:val="00D1490D"/>
    <w:rsid w:val="00D14C70"/>
    <w:rsid w:val="00D21AB8"/>
    <w:rsid w:val="00D26CED"/>
    <w:rsid w:val="00D31E65"/>
    <w:rsid w:val="00D34A85"/>
    <w:rsid w:val="00D46F6E"/>
    <w:rsid w:val="00D53871"/>
    <w:rsid w:val="00D57B44"/>
    <w:rsid w:val="00D6641B"/>
    <w:rsid w:val="00D675F3"/>
    <w:rsid w:val="00D7496B"/>
    <w:rsid w:val="00D805E8"/>
    <w:rsid w:val="00D84357"/>
    <w:rsid w:val="00DA3917"/>
    <w:rsid w:val="00DA3D34"/>
    <w:rsid w:val="00DA5CEC"/>
    <w:rsid w:val="00DC6462"/>
    <w:rsid w:val="00DD21FA"/>
    <w:rsid w:val="00DD2CF7"/>
    <w:rsid w:val="00DD2E55"/>
    <w:rsid w:val="00DD4C87"/>
    <w:rsid w:val="00DD5D75"/>
    <w:rsid w:val="00DD6B72"/>
    <w:rsid w:val="00DE0E9D"/>
    <w:rsid w:val="00DE4ED6"/>
    <w:rsid w:val="00DE5CA5"/>
    <w:rsid w:val="00DF4FA8"/>
    <w:rsid w:val="00E017A9"/>
    <w:rsid w:val="00E0274F"/>
    <w:rsid w:val="00E03FFF"/>
    <w:rsid w:val="00E07A42"/>
    <w:rsid w:val="00E10EDB"/>
    <w:rsid w:val="00E11D9C"/>
    <w:rsid w:val="00E12E97"/>
    <w:rsid w:val="00E17936"/>
    <w:rsid w:val="00E2126C"/>
    <w:rsid w:val="00E23B4E"/>
    <w:rsid w:val="00E3563E"/>
    <w:rsid w:val="00E361D6"/>
    <w:rsid w:val="00E40078"/>
    <w:rsid w:val="00E43C61"/>
    <w:rsid w:val="00E4426D"/>
    <w:rsid w:val="00E50F7C"/>
    <w:rsid w:val="00E51345"/>
    <w:rsid w:val="00E52DB3"/>
    <w:rsid w:val="00E52FAD"/>
    <w:rsid w:val="00E54BA4"/>
    <w:rsid w:val="00E64226"/>
    <w:rsid w:val="00E66CB4"/>
    <w:rsid w:val="00E71D35"/>
    <w:rsid w:val="00E758FC"/>
    <w:rsid w:val="00E81532"/>
    <w:rsid w:val="00E81B19"/>
    <w:rsid w:val="00E90D1D"/>
    <w:rsid w:val="00E90DA1"/>
    <w:rsid w:val="00E91D8C"/>
    <w:rsid w:val="00E91EA1"/>
    <w:rsid w:val="00E94C94"/>
    <w:rsid w:val="00EA0D8F"/>
    <w:rsid w:val="00EA1019"/>
    <w:rsid w:val="00EB3461"/>
    <w:rsid w:val="00EB3532"/>
    <w:rsid w:val="00EB3C64"/>
    <w:rsid w:val="00EB5FC5"/>
    <w:rsid w:val="00EB785E"/>
    <w:rsid w:val="00EC44C8"/>
    <w:rsid w:val="00EC5A58"/>
    <w:rsid w:val="00EC7C37"/>
    <w:rsid w:val="00EE1550"/>
    <w:rsid w:val="00EE4F4A"/>
    <w:rsid w:val="00EE65B8"/>
    <w:rsid w:val="00EE6CD6"/>
    <w:rsid w:val="00EF118B"/>
    <w:rsid w:val="00EF676B"/>
    <w:rsid w:val="00F009BF"/>
    <w:rsid w:val="00F03D7C"/>
    <w:rsid w:val="00F045AC"/>
    <w:rsid w:val="00F04680"/>
    <w:rsid w:val="00F13FAA"/>
    <w:rsid w:val="00F1504D"/>
    <w:rsid w:val="00F175D3"/>
    <w:rsid w:val="00F2010B"/>
    <w:rsid w:val="00F237A8"/>
    <w:rsid w:val="00F310D7"/>
    <w:rsid w:val="00F3175F"/>
    <w:rsid w:val="00F3236F"/>
    <w:rsid w:val="00F512A9"/>
    <w:rsid w:val="00F5484F"/>
    <w:rsid w:val="00F66D52"/>
    <w:rsid w:val="00F83224"/>
    <w:rsid w:val="00F85E80"/>
    <w:rsid w:val="00F86843"/>
    <w:rsid w:val="00F9066E"/>
    <w:rsid w:val="00F9375F"/>
    <w:rsid w:val="00F95AFC"/>
    <w:rsid w:val="00F96DF6"/>
    <w:rsid w:val="00F97804"/>
    <w:rsid w:val="00FA039E"/>
    <w:rsid w:val="00FA4FF7"/>
    <w:rsid w:val="00FB3F64"/>
    <w:rsid w:val="00FC1234"/>
    <w:rsid w:val="00FC3C9F"/>
    <w:rsid w:val="00FC50EE"/>
    <w:rsid w:val="00FD2777"/>
    <w:rsid w:val="00FD3900"/>
    <w:rsid w:val="00FD3CC9"/>
    <w:rsid w:val="00FD71E3"/>
    <w:rsid w:val="00FE11AF"/>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ind w:left="280" w:hanging="270"/>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ind w:left="1170"/>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Props1.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2.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CDBD3-9F38-45C0-B09F-17E9709BFC1B}">
  <ds:schemaRefs>
    <ds:schemaRef ds:uri="http://schemas.microsoft.com/sharepoint/v3/contenttype/forms"/>
  </ds:schemaRefs>
</ds:datastoreItem>
</file>

<file path=customXml/itemProps4.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2022-03-23T19:22:00Z</dcterms:created>
  <dcterms:modified xsi:type="dcterms:W3CDTF">2022-03-29T23:35:00Z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